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071B5B5"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Pr="005A5862">
        <w:rPr>
          <w:bCs/>
          <w:noProof w:val="0"/>
          <w:sz w:val="24"/>
          <w:szCs w:val="24"/>
        </w:rPr>
        <w:t>R2-</w:t>
      </w:r>
      <w:r w:rsidR="009D0BF1" w:rsidRPr="009D0BF1">
        <w:rPr>
          <w:bCs/>
          <w:noProof w:val="0"/>
          <w:sz w:val="24"/>
          <w:szCs w:val="24"/>
        </w:rPr>
        <w:t>2503926</w:t>
      </w:r>
    </w:p>
    <w:p w14:paraId="3723E1D3" w14:textId="18B99404" w:rsidR="005432D9" w:rsidRPr="005A5862" w:rsidRDefault="004D4A17" w:rsidP="00541A65">
      <w:pPr>
        <w:pStyle w:val="Header"/>
        <w:tabs>
          <w:tab w:val="right" w:pos="9641"/>
        </w:tabs>
        <w:rPr>
          <w:rFonts w:eastAsia="SimSun"/>
          <w:bCs/>
          <w:sz w:val="24"/>
          <w:szCs w:val="24"/>
          <w:lang w:eastAsia="zh-CN"/>
        </w:rPr>
      </w:pPr>
      <w:r w:rsidRPr="00FB5771">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66BC26D3"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E446E">
        <w:rPr>
          <w:rFonts w:cs="Arial"/>
          <w:b/>
          <w:bCs/>
          <w:sz w:val="24"/>
          <w:lang w:eastAsia="ja-JP"/>
        </w:rPr>
        <w:t>8</w:t>
      </w:r>
      <w:r>
        <w:rPr>
          <w:rFonts w:cs="Arial"/>
          <w:b/>
          <w:bCs/>
          <w:sz w:val="24"/>
          <w:lang w:eastAsia="ja-JP"/>
        </w:rPr>
        <w:t>.</w:t>
      </w:r>
      <w:r w:rsidR="002E446E">
        <w:rPr>
          <w:rFonts w:cs="Arial"/>
          <w:b/>
          <w:bCs/>
          <w:sz w:val="24"/>
          <w:lang w:eastAsia="ja-JP"/>
        </w:rPr>
        <w:t>8</w:t>
      </w:r>
      <w:r>
        <w:rPr>
          <w:rFonts w:cs="Arial"/>
          <w:b/>
          <w:bCs/>
          <w:sz w:val="24"/>
          <w:lang w:eastAsia="ja-JP"/>
        </w:rPr>
        <w:t>.</w:t>
      </w:r>
      <w:r w:rsidR="00870F74">
        <w:rPr>
          <w:rFonts w:cs="Arial"/>
          <w:b/>
          <w:bCs/>
          <w:sz w:val="24"/>
          <w:lang w:eastAsia="ja-JP"/>
        </w:rPr>
        <w:t>2</w:t>
      </w:r>
    </w:p>
    <w:p w14:paraId="0EC781B3" w14:textId="6D4296E3"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70F74">
        <w:rPr>
          <w:rFonts w:ascii="Arial" w:hAnsi="Arial" w:cs="Arial"/>
          <w:b/>
          <w:bCs/>
          <w:sz w:val="24"/>
        </w:rPr>
        <w:t>, Nokia Shanghai Bell</w:t>
      </w:r>
    </w:p>
    <w:p w14:paraId="16C775DD" w14:textId="2698A27C"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0F74">
        <w:rPr>
          <w:rFonts w:ascii="Arial" w:hAnsi="Arial" w:cs="Arial"/>
          <w:b/>
          <w:bCs/>
          <w:sz w:val="24"/>
        </w:rPr>
        <w:t>Open issues for DL coverage enhancements</w:t>
      </w:r>
    </w:p>
    <w:p w14:paraId="7D015DD9" w14:textId="09559598"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4653" w:rsidRPr="00884653">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884653">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421806F" w14:textId="77777777" w:rsidR="00BC481B" w:rsidRDefault="00BC481B" w:rsidP="00BC481B">
      <w:r>
        <w:t>In RAN2#130 it was agreed that</w:t>
      </w:r>
    </w:p>
    <w:p w14:paraId="6448E4A2"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Agreements;</w:t>
      </w:r>
    </w:p>
    <w:p w14:paraId="5B781189"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1.</w:t>
      </w:r>
      <w:r>
        <w:tab/>
      </w:r>
      <w:r w:rsidRPr="00754A8E">
        <w:t xml:space="preserve">From SSB extension point of view, </w:t>
      </w:r>
      <w:r>
        <w:t xml:space="preserve">RAN2 assumes </w:t>
      </w:r>
      <w:r w:rsidRPr="00754A8E">
        <w:t xml:space="preserve">there is no need to </w:t>
      </w:r>
      <w:r>
        <w:t>introduce new barring bits</w:t>
      </w:r>
    </w:p>
    <w:p w14:paraId="2845AA2F"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2.</w:t>
      </w:r>
      <w:r>
        <w:tab/>
        <w:t>We wait for further progress in RAN1 on link level enhancements before further discussing the possible impacts on access barring</w:t>
      </w:r>
    </w:p>
    <w:p w14:paraId="139E98C1"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3.</w:t>
      </w:r>
      <w:r>
        <w:tab/>
        <w:t xml:space="preserve">RAN2 considers to support configuring </w:t>
      </w:r>
      <w:r w:rsidRPr="00974FA3">
        <w:rPr>
          <w:highlight w:val="yellow"/>
        </w:rPr>
        <w:t>two different SMTC periodicities</w:t>
      </w:r>
      <w:r>
        <w:t xml:space="preserve">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656E91F"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4.</w:t>
      </w:r>
      <w:r>
        <w:tab/>
        <w:t xml:space="preserve">We support configuring </w:t>
      </w:r>
      <w:r w:rsidRPr="00974FA3">
        <w:rPr>
          <w:highlight w:val="yellow"/>
        </w:rPr>
        <w:t>more than 4 SMTCs</w:t>
      </w:r>
      <w:r>
        <w:t xml:space="preserve"> per frequency (e.g. 6) for idle/inactive UEs. It will be up to UE implementation to select which of the SMTCs to consider (send this RAN2 decision to RAN4 for checking)</w:t>
      </w:r>
    </w:p>
    <w:p w14:paraId="0F3A2F45" w14:textId="77777777" w:rsidR="00BC481B" w:rsidRDefault="00BC481B" w:rsidP="00BC481B">
      <w:pPr>
        <w:pStyle w:val="Doc-text2"/>
        <w:pBdr>
          <w:top w:val="single" w:sz="4" w:space="1" w:color="auto"/>
          <w:left w:val="single" w:sz="4" w:space="4" w:color="auto"/>
          <w:bottom w:val="single" w:sz="4" w:space="1" w:color="auto"/>
          <w:right w:val="single" w:sz="4" w:space="4" w:color="auto"/>
        </w:pBdr>
        <w:ind w:left="647"/>
      </w:pPr>
      <w:r>
        <w:t>5.</w:t>
      </w:r>
      <w:r>
        <w:tab/>
        <w:t xml:space="preserve">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w:t>
      </w:r>
      <w:r w:rsidRPr="00974FA3">
        <w:rPr>
          <w:highlight w:val="yellow"/>
        </w:rPr>
        <w:t>In any case it is up to UE implementation on how to utilize the assistance information for SMTC selection in idle/inactive mode.</w:t>
      </w:r>
    </w:p>
    <w:p w14:paraId="0D91D783" w14:textId="4CAF9568" w:rsidR="008B549E" w:rsidRDefault="00BC481B" w:rsidP="008B549E">
      <w:r>
        <w:t>Although the main feasibility is up to RAN4</w:t>
      </w:r>
      <w:r w:rsidR="005E6C44">
        <w:t xml:space="preserve">, based on the LS in </w:t>
      </w:r>
      <w:r w:rsidR="00851915">
        <w:t>R2-2503068, RAN2 should still prepare final solutions</w:t>
      </w:r>
      <w:r w:rsidR="001F5B9C">
        <w:t xml:space="preserve"> </w:t>
      </w:r>
      <w:r w:rsidR="00851915">
        <w:t>w.r.t.</w:t>
      </w:r>
      <w:r w:rsidR="001F5B9C">
        <w:t xml:space="preserve"> the SSB extensions </w:t>
      </w:r>
      <w:r w:rsidR="003F1125">
        <w:t>when RAN4 returns with a reply. Furthermore, RAN2 should be ready to provide additional information to RAN4 in case it is requested.</w:t>
      </w:r>
      <w:r w:rsidR="00851915">
        <w:t xml:space="preserve"> </w:t>
      </w:r>
      <w:r>
        <w:t>This Tdoc handles the remaining open issues on topic.</w:t>
      </w:r>
    </w:p>
    <w:p w14:paraId="2F0575B0" w14:textId="1AC3C557" w:rsidR="008B549E" w:rsidRPr="006E13D1" w:rsidRDefault="008B549E" w:rsidP="008B549E">
      <w:pPr>
        <w:pStyle w:val="Heading1"/>
      </w:pPr>
      <w:r w:rsidRPr="006E13D1">
        <w:t>2</w:t>
      </w:r>
      <w:r w:rsidRPr="006E13D1">
        <w:tab/>
      </w:r>
      <w:r w:rsidR="00D87CF0">
        <w:t>Discussion</w:t>
      </w:r>
    </w:p>
    <w:p w14:paraId="3C13FB82" w14:textId="6B67D5AB" w:rsidR="008945BC" w:rsidRDefault="002D2660" w:rsidP="008945BC">
      <w:r>
        <w:t xml:space="preserve">As seen in the introduction, it has already been agreed that the </w:t>
      </w:r>
      <w:r w:rsidR="00943066">
        <w:t xml:space="preserve">network can provide assistance information </w:t>
      </w:r>
      <w:r w:rsidR="00B7496D">
        <w:t xml:space="preserve">such as location </w:t>
      </w:r>
      <w:r w:rsidR="00B7496D">
        <w:t>to</w:t>
      </w:r>
      <w:r w:rsidR="00981644">
        <w:t xml:space="preserve"> </w:t>
      </w:r>
      <w:r w:rsidR="00B7496D">
        <w:t xml:space="preserve">assist the UE </w:t>
      </w:r>
      <w:r w:rsidR="00981644">
        <w:t xml:space="preserve">in </w:t>
      </w:r>
      <w:r w:rsidR="00B7496D">
        <w:t xml:space="preserve">associating </w:t>
      </w:r>
      <w:r w:rsidR="00981644">
        <w:t>the related</w:t>
      </w:r>
      <w:r w:rsidR="00B7496D">
        <w:t xml:space="preserve"> SMTC configuration </w:t>
      </w:r>
      <w:r w:rsidR="00981644">
        <w:t>to the UEs current position.</w:t>
      </w:r>
      <w:r w:rsidR="00AE618E">
        <w:t xml:space="preserve"> Such solution </w:t>
      </w:r>
      <w:r w:rsidR="00422CD7">
        <w:t xml:space="preserve">does come with </w:t>
      </w:r>
      <w:r w:rsidR="00CB636C">
        <w:t xml:space="preserve">both complexity and overhead, as the UE needs to maintain information about the position, and be up to date with the latest SMTC </w:t>
      </w:r>
      <w:r w:rsidR="00DB1B68">
        <w:t>assistance information, in order to be fully aware of the optimal SMTC configuration.</w:t>
      </w:r>
    </w:p>
    <w:p w14:paraId="2850006B" w14:textId="319DA54C" w:rsidR="00604FD1" w:rsidRDefault="00604FD1" w:rsidP="00604FD1">
      <w:r>
        <w:t xml:space="preserve">In Rel-17 a new SMTC list was introduced, to </w:t>
      </w:r>
      <w:r w:rsidR="007F65CD">
        <w:t>consider</w:t>
      </w:r>
      <w:r>
        <w:t xml:space="preserve"> the different propagation offsets between cells from different satellites in the measurement configuration. A UE capability called paralellSMTC-r17 was introduced as follows (TS 38.306):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04FD1" w:rsidRPr="00A855F4" w14:paraId="760A8C17" w14:textId="77777777" w:rsidTr="00AD2B09">
        <w:trPr>
          <w:cantSplit/>
        </w:trPr>
        <w:tc>
          <w:tcPr>
            <w:tcW w:w="6807" w:type="dxa"/>
          </w:tcPr>
          <w:p w14:paraId="202CE316" w14:textId="77777777" w:rsidR="00604FD1" w:rsidRPr="00A855F4" w:rsidRDefault="00604FD1" w:rsidP="00AD2B09">
            <w:pPr>
              <w:pStyle w:val="TAL"/>
              <w:rPr>
                <w:b/>
                <w:i/>
              </w:rPr>
            </w:pPr>
            <w:r w:rsidRPr="00A855F4">
              <w:rPr>
                <w:b/>
                <w:i/>
              </w:rPr>
              <w:t>parallelSMTC-r17</w:t>
            </w:r>
          </w:p>
          <w:p w14:paraId="75109124" w14:textId="77777777" w:rsidR="00604FD1" w:rsidRPr="00A855F4" w:rsidRDefault="00604FD1" w:rsidP="00AD2B09">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179CFD3A" w14:textId="77777777" w:rsidR="00604FD1" w:rsidRPr="00A855F4" w:rsidRDefault="00604FD1" w:rsidP="00AD2B09">
            <w:pPr>
              <w:pStyle w:val="TAL"/>
              <w:jc w:val="center"/>
            </w:pPr>
            <w:r w:rsidRPr="00A855F4">
              <w:t>UE</w:t>
            </w:r>
          </w:p>
        </w:tc>
        <w:tc>
          <w:tcPr>
            <w:tcW w:w="564" w:type="dxa"/>
          </w:tcPr>
          <w:p w14:paraId="7CAB6A51" w14:textId="77777777" w:rsidR="00604FD1" w:rsidRPr="00A855F4" w:rsidRDefault="00604FD1" w:rsidP="00AD2B09">
            <w:pPr>
              <w:pStyle w:val="TAL"/>
              <w:jc w:val="center"/>
            </w:pPr>
            <w:r w:rsidRPr="00A855F4">
              <w:t>No</w:t>
            </w:r>
          </w:p>
        </w:tc>
        <w:tc>
          <w:tcPr>
            <w:tcW w:w="712" w:type="dxa"/>
          </w:tcPr>
          <w:p w14:paraId="571A93DE" w14:textId="77777777" w:rsidR="00604FD1" w:rsidRPr="00A855F4" w:rsidRDefault="00604FD1" w:rsidP="00AD2B09">
            <w:pPr>
              <w:pStyle w:val="TAL"/>
              <w:jc w:val="center"/>
            </w:pPr>
            <w:r w:rsidRPr="00A855F4">
              <w:rPr>
                <w:rFonts w:eastAsia="DengXian"/>
              </w:rPr>
              <w:t>FDD only</w:t>
            </w:r>
          </w:p>
          <w:p w14:paraId="31A7A1F6" w14:textId="77777777" w:rsidR="00604FD1" w:rsidRPr="00A855F4" w:rsidRDefault="00604FD1" w:rsidP="00AD2B09">
            <w:pPr>
              <w:pStyle w:val="TAL"/>
              <w:jc w:val="center"/>
              <w:rPr>
                <w:rFonts w:eastAsia="DengXian"/>
              </w:rPr>
            </w:pPr>
          </w:p>
        </w:tc>
        <w:tc>
          <w:tcPr>
            <w:tcW w:w="737" w:type="dxa"/>
          </w:tcPr>
          <w:p w14:paraId="06FD2CF1" w14:textId="77777777" w:rsidR="00604FD1" w:rsidRPr="00A855F4" w:rsidRDefault="00604FD1" w:rsidP="00AD2B09">
            <w:pPr>
              <w:pStyle w:val="TAL"/>
              <w:jc w:val="center"/>
            </w:pPr>
            <w:r w:rsidRPr="00A855F4">
              <w:t>FR1 only</w:t>
            </w:r>
          </w:p>
          <w:p w14:paraId="39B1D379" w14:textId="77777777" w:rsidR="00604FD1" w:rsidRPr="00A855F4" w:rsidRDefault="00604FD1" w:rsidP="00AD2B09">
            <w:pPr>
              <w:pStyle w:val="TAL"/>
              <w:jc w:val="center"/>
            </w:pPr>
          </w:p>
        </w:tc>
      </w:tr>
    </w:tbl>
    <w:p w14:paraId="65CD29F8" w14:textId="77777777" w:rsidR="00604FD1" w:rsidRDefault="00604FD1" w:rsidP="005862D6"/>
    <w:tbl>
      <w:tblPr>
        <w:tblStyle w:val="TableGrid"/>
        <w:tblW w:w="0" w:type="auto"/>
        <w:tblLook w:val="04A0" w:firstRow="1" w:lastRow="0" w:firstColumn="1" w:lastColumn="0" w:noHBand="0" w:noVBand="1"/>
      </w:tblPr>
      <w:tblGrid>
        <w:gridCol w:w="9631"/>
      </w:tblGrid>
      <w:tr w:rsidR="005862D6" w14:paraId="35CD8FBE" w14:textId="77777777" w:rsidTr="00AA0331">
        <w:tc>
          <w:tcPr>
            <w:tcW w:w="9631" w:type="dxa"/>
          </w:tcPr>
          <w:p w14:paraId="12EFAF58" w14:textId="77777777" w:rsidR="005862D6" w:rsidRPr="00B05D3A" w:rsidRDefault="005862D6" w:rsidP="00AA0331">
            <w:pPr>
              <w:rPr>
                <w:b/>
                <w:bCs/>
                <w:u w:val="single"/>
              </w:rPr>
            </w:pPr>
            <w:r w:rsidRPr="00B05D3A">
              <w:rPr>
                <w:b/>
                <w:bCs/>
                <w:u w:val="single"/>
              </w:rPr>
              <w:t>From TS 38.133, Clause 9.2C.1:</w:t>
            </w:r>
          </w:p>
          <w:p w14:paraId="10268E33" w14:textId="77777777" w:rsidR="005862D6" w:rsidRPr="00CF0E2F" w:rsidRDefault="005862D6" w:rsidP="00AA0331">
            <w:r w:rsidRPr="00CF0E2F">
              <w:lastRenderedPageBreak/>
              <w:t xml:space="preserve">SSB based measurements are configured along with one or more measurement timing configuration(s) (SMTC(s)) which provides periodicity, duration and offset information on a window of up to 5 ms where the measurements are to be performed. For intra-frequency connected mode measurements, </w:t>
            </w:r>
          </w:p>
          <w:p w14:paraId="3229FC17" w14:textId="77777777" w:rsidR="005862D6" w:rsidRPr="00CF0E2F" w:rsidRDefault="005862D6" w:rsidP="00AA0331">
            <w:r w:rsidRPr="00CF0E2F">
              <w:t>-</w:t>
            </w:r>
            <w:r w:rsidRPr="00CF0E2F">
              <w:tab/>
              <w:t xml:space="preserve">when </w:t>
            </w:r>
            <w:r w:rsidRPr="00CF0E2F">
              <w:rPr>
                <w:i/>
              </w:rPr>
              <w:t>SSB-MTC4List-r17</w:t>
            </w:r>
            <w:r w:rsidRPr="00CF0E2F">
              <w:t xml:space="preserve"> is not configured, up to two measurement window periodicities may be configured with </w:t>
            </w:r>
            <w:r w:rsidRPr="00CF0E2F">
              <w:rPr>
                <w:i/>
              </w:rPr>
              <w:t>SSB-MTC</w:t>
            </w:r>
            <w:r w:rsidRPr="00CF0E2F">
              <w:t xml:space="preserve"> and </w:t>
            </w:r>
            <w:r w:rsidRPr="00CF0E2F">
              <w:rPr>
                <w:i/>
              </w:rPr>
              <w:t>SSB-MTC2</w:t>
            </w:r>
          </w:p>
          <w:p w14:paraId="40EBEC1B" w14:textId="4801EB11" w:rsidR="005862D6" w:rsidRDefault="005862D6" w:rsidP="00AA0331">
            <w:r w:rsidRPr="00CF0E2F">
              <w:t>-</w:t>
            </w:r>
            <w:r w:rsidRPr="00CF0E2F">
              <w:tab/>
            </w:r>
            <w:r w:rsidRPr="00F26008">
              <w:t xml:space="preserve">when </w:t>
            </w:r>
            <w:r w:rsidRPr="00CF0E2F">
              <w:rPr>
                <w:i/>
              </w:rPr>
              <w:t>SSB-MTC4List-r17</w:t>
            </w:r>
            <w:r w:rsidRPr="00F26008">
              <w:t xml:space="preserve"> is configured, multiple measurement window offsets may be configured with </w:t>
            </w:r>
            <w:r w:rsidRPr="00CF0E2F">
              <w:rPr>
                <w:i/>
              </w:rPr>
              <w:t>SSB-MTC</w:t>
            </w:r>
            <w:r w:rsidRPr="00F26008">
              <w:t xml:space="preserve"> and </w:t>
            </w:r>
            <w:r w:rsidRPr="00CF0E2F">
              <w:rPr>
                <w:i/>
              </w:rPr>
              <w:t>SSB-MTC4List-r17</w:t>
            </w:r>
            <w:r w:rsidRPr="00F26008">
              <w:t xml:space="preserve">, </w:t>
            </w:r>
            <w:r w:rsidRPr="00B05D3A">
              <w:rPr>
                <w:highlight w:val="yellow"/>
              </w:rPr>
              <w:t xml:space="preserve">and the requirements in clause 9.2C apply provided that the total number of measurement window offsets does not exceed the UE capability </w:t>
            </w:r>
            <w:r w:rsidRPr="00B05D3A">
              <w:rPr>
                <w:i/>
                <w:highlight w:val="yellow"/>
              </w:rPr>
              <w:t>parallelSMTC-r17</w:t>
            </w:r>
          </w:p>
        </w:tc>
      </w:tr>
    </w:tbl>
    <w:p w14:paraId="21E1BDAF" w14:textId="77777777" w:rsidR="00604FD1" w:rsidRDefault="00604FD1" w:rsidP="005862D6"/>
    <w:p w14:paraId="0E945A52" w14:textId="1A49F251" w:rsidR="00604FD1" w:rsidRDefault="00604FD1" w:rsidP="005862D6">
      <w:r>
        <w:t xml:space="preserve">RAN4 may not agree to a solution within the timeframe, when a UE is configured with more SMTCs than it supports, measurement requirements are not applicable according to RAN4 specifications. The reason for this is that RAN4 considered that if the UE had to select a subset of measurements at will, it would not be possible to evaluate which SMTCs the UE had selected to check if the measurements were completed in time. Besides, if the UE decides to split the measurement occasions across multiple SMTC, the total time to measure would be much longer. </w:t>
      </w:r>
    </w:p>
    <w:p w14:paraId="49C95F66" w14:textId="1D5B78AA" w:rsidR="001E0AE0" w:rsidRDefault="005862D6" w:rsidP="005862D6">
      <w:pPr>
        <w:rPr>
          <w:b/>
          <w:bCs/>
        </w:rPr>
      </w:pPr>
      <w:r w:rsidRPr="00406A8D">
        <w:rPr>
          <w:b/>
          <w:bCs/>
        </w:rPr>
        <w:t xml:space="preserve">Observation </w:t>
      </w:r>
      <w:r w:rsidR="00813DA2">
        <w:rPr>
          <w:b/>
          <w:bCs/>
        </w:rPr>
        <w:t>1</w:t>
      </w:r>
      <w:r w:rsidRPr="00406A8D">
        <w:rPr>
          <w:b/>
          <w:bCs/>
        </w:rPr>
        <w:t xml:space="preserve">: </w:t>
      </w:r>
      <w:r w:rsidR="00813DA2">
        <w:rPr>
          <w:b/>
          <w:bCs/>
        </w:rPr>
        <w:t xml:space="preserve">RRM requirements </w:t>
      </w:r>
      <w:r w:rsidR="00527973">
        <w:rPr>
          <w:b/>
          <w:bCs/>
        </w:rPr>
        <w:t>are not applicable in case more than 2 SMTCs are configured.</w:t>
      </w:r>
    </w:p>
    <w:p w14:paraId="23554BC3" w14:textId="77777777" w:rsidR="0038404F" w:rsidRDefault="0038404F" w:rsidP="0038404F">
      <w:r>
        <w:t xml:space="preserve">In Rel-17, the capability </w:t>
      </w:r>
      <w:r w:rsidRPr="00FD517D">
        <w:rPr>
          <w:i/>
          <w:iCs/>
        </w:rPr>
        <w:t>parallelSMTC-r17</w:t>
      </w:r>
      <w:r>
        <w:t xml:space="preserve"> was related to the measurements performed by the UE in different satellites. So the problem was somehow confined to the “inter-satellite” handover. In Rel-19, RAN2 discusses configuring more SMTCs offsets even for cells served by the same satellite. If the same capability from release 17 is reused, even for UEs that support the location assisted SMTC selection, we could end up in a situation where the RAN4 requirements are not applicable for neighbour cell measurements from cells served by the same or different satellites. In the table below we summarize the expected UE behavior in different cases, if the parallelSMTC-r17 is reused: </w:t>
      </w:r>
    </w:p>
    <w:tbl>
      <w:tblPr>
        <w:tblW w:w="9923" w:type="dxa"/>
        <w:tblLayout w:type="fixed"/>
        <w:tblLook w:val="06A0" w:firstRow="1" w:lastRow="0" w:firstColumn="1" w:lastColumn="0" w:noHBand="1" w:noVBand="1"/>
      </w:tblPr>
      <w:tblGrid>
        <w:gridCol w:w="1755"/>
        <w:gridCol w:w="1470"/>
        <w:gridCol w:w="1595"/>
        <w:gridCol w:w="5103"/>
      </w:tblGrid>
      <w:tr w:rsidR="00857BF2" w14:paraId="6A956CB0" w14:textId="77777777">
        <w:trPr>
          <w:trHeight w:val="585"/>
        </w:trPr>
        <w:tc>
          <w:tcPr>
            <w:tcW w:w="1755" w:type="dxa"/>
            <w:tcBorders>
              <w:top w:val="nil"/>
              <w:left w:val="nil"/>
              <w:bottom w:val="nil"/>
              <w:right w:val="nil"/>
            </w:tcBorders>
            <w:tcMar>
              <w:top w:w="15" w:type="dxa"/>
              <w:left w:w="15" w:type="dxa"/>
              <w:right w:w="15" w:type="dxa"/>
            </w:tcMar>
            <w:vAlign w:val="center"/>
          </w:tcPr>
          <w:p w14:paraId="1A4842D8" w14:textId="77777777" w:rsidR="00857BF2" w:rsidRDefault="00857BF2"/>
        </w:tc>
        <w:tc>
          <w:tcPr>
            <w:tcW w:w="1470" w:type="dxa"/>
            <w:tcBorders>
              <w:top w:val="nil"/>
              <w:left w:val="nil"/>
              <w:bottom w:val="nil"/>
              <w:right w:val="nil"/>
            </w:tcBorders>
            <w:tcMar>
              <w:top w:w="15" w:type="dxa"/>
              <w:left w:w="15" w:type="dxa"/>
              <w:right w:w="15" w:type="dxa"/>
            </w:tcMar>
            <w:vAlign w:val="center"/>
          </w:tcPr>
          <w:p w14:paraId="61392B7D" w14:textId="77777777" w:rsidR="00857BF2" w:rsidRDefault="00857BF2"/>
        </w:tc>
        <w:tc>
          <w:tcPr>
            <w:tcW w:w="1595" w:type="dxa"/>
            <w:tcBorders>
              <w:top w:val="nil"/>
              <w:left w:val="nil"/>
              <w:bottom w:val="nil"/>
              <w:right w:val="nil"/>
            </w:tcBorders>
            <w:tcMar>
              <w:top w:w="15" w:type="dxa"/>
              <w:left w:w="15" w:type="dxa"/>
              <w:right w:w="15" w:type="dxa"/>
            </w:tcMar>
            <w:vAlign w:val="center"/>
          </w:tcPr>
          <w:p w14:paraId="69463E23" w14:textId="77777777" w:rsidR="00857BF2" w:rsidRDefault="00857BF2"/>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CABBDA"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UE behavior</w:t>
            </w:r>
          </w:p>
        </w:tc>
      </w:tr>
      <w:tr w:rsidR="00857BF2" w14:paraId="125BB9E8" w14:textId="77777777">
        <w:trPr>
          <w:trHeight w:val="1305"/>
        </w:trPr>
        <w:tc>
          <w:tcPr>
            <w:tcW w:w="175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779B9F"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w:t>
            </w:r>
            <w:r w:rsidRPr="0C71F0EE">
              <w:rPr>
                <w:rFonts w:ascii="Aptos Narrow" w:eastAsia="Aptos Narrow" w:hAnsi="Aptos Narrow" w:cs="Aptos Narrow"/>
                <w:b/>
                <w:bCs/>
                <w:color w:val="000000" w:themeColor="text1"/>
                <w:sz w:val="22"/>
                <w:szCs w:val="22"/>
              </w:rPr>
              <w:t xml:space="preserve">configures </w:t>
            </w:r>
            <w:r w:rsidRPr="00FD517D">
              <w:rPr>
                <w:rFonts w:ascii="Aptos Narrow" w:eastAsia="Aptos Narrow" w:hAnsi="Aptos Narrow" w:cs="Aptos Narrow"/>
                <w:b/>
                <w:bCs/>
                <w:color w:val="000000" w:themeColor="text1"/>
                <w:sz w:val="22"/>
                <w:szCs w:val="22"/>
              </w:rPr>
              <w:t>location assistance information</w:t>
            </w:r>
          </w:p>
        </w:tc>
        <w:tc>
          <w:tcPr>
            <w:tcW w:w="1470"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99C3A7" w14:textId="77777777" w:rsidR="00857BF2"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configures </w:t>
            </w:r>
            <w:r w:rsidRPr="0C71F0EE">
              <w:rPr>
                <w:rFonts w:ascii="Aptos Narrow" w:eastAsia="Aptos Narrow" w:hAnsi="Aptos Narrow" w:cs="Aptos Narrow"/>
                <w:b/>
                <w:bCs/>
                <w:color w:val="000000" w:themeColor="text1"/>
                <w:sz w:val="22"/>
                <w:szCs w:val="22"/>
              </w:rPr>
              <w:t xml:space="preserve">more than </w:t>
            </w:r>
            <w:r>
              <w:rPr>
                <w:rFonts w:ascii="Aptos Narrow" w:eastAsia="Aptos Narrow" w:hAnsi="Aptos Narrow" w:cs="Aptos Narrow"/>
                <w:b/>
                <w:bCs/>
                <w:color w:val="000000" w:themeColor="text1"/>
                <w:sz w:val="22"/>
                <w:szCs w:val="22"/>
              </w:rPr>
              <w:t>4</w:t>
            </w:r>
            <w:r w:rsidRPr="0C71F0EE">
              <w:rPr>
                <w:rFonts w:ascii="Aptos Narrow" w:eastAsia="Aptos Narrow" w:hAnsi="Aptos Narrow" w:cs="Aptos Narrow"/>
                <w:b/>
                <w:bCs/>
                <w:color w:val="000000" w:themeColor="text1"/>
                <w:sz w:val="22"/>
                <w:szCs w:val="22"/>
              </w:rPr>
              <w:t xml:space="preserve"> SMTCs</w:t>
            </w:r>
          </w:p>
        </w:tc>
        <w:tc>
          <w:tcPr>
            <w:tcW w:w="1595"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79F3D3E7"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UE supports location assistance information</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15425A" w14:textId="77777777" w:rsidR="00857BF2" w:rsidRDefault="00857BF2">
            <w:pPr>
              <w:spacing w:after="0"/>
              <w:jc w:val="both"/>
              <w:rPr>
                <w:rFonts w:ascii="Aptos Narrow" w:eastAsia="Aptos Narrow" w:hAnsi="Aptos Narrow" w:cs="Aptos Narrow"/>
                <w:color w:val="000000" w:themeColor="text1"/>
                <w:sz w:val="22"/>
                <w:szCs w:val="22"/>
              </w:rPr>
            </w:pPr>
          </w:p>
          <w:p w14:paraId="3C9F2CDE"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indicates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4</w:t>
            </w:r>
            <w:r w:rsidRPr="0C71F0EE">
              <w:rPr>
                <w:rFonts w:ascii="Aptos Narrow" w:eastAsia="Aptos Narrow" w:hAnsi="Aptos Narrow" w:cs="Aptos Narrow"/>
                <w:color w:val="000000" w:themeColor="text1"/>
                <w:sz w:val="22"/>
                <w:szCs w:val="22"/>
              </w:rPr>
              <w:t xml:space="preserve"> SMTCs according to the assistance information</w:t>
            </w:r>
            <w:r>
              <w:rPr>
                <w:rFonts w:ascii="Aptos Narrow" w:eastAsia="Aptos Narrow" w:hAnsi="Aptos Narrow" w:cs="Aptos Narrow"/>
                <w:color w:val="000000" w:themeColor="text1"/>
                <w:sz w:val="22"/>
                <w:szCs w:val="22"/>
              </w:rPr>
              <w:t xml:space="preserve">. According to 38.133 requirements, </w:t>
            </w:r>
            <w:r w:rsidRPr="00FD517D">
              <w:rPr>
                <w:rFonts w:ascii="Aptos Narrow" w:eastAsia="Aptos Narrow" w:hAnsi="Aptos Narrow" w:cs="Aptos Narrow"/>
                <w:b/>
                <w:bCs/>
                <w:color w:val="000000" w:themeColor="text1"/>
                <w:sz w:val="22"/>
                <w:szCs w:val="22"/>
              </w:rPr>
              <w:t>no requirements apply.</w:t>
            </w:r>
          </w:p>
          <w:p w14:paraId="41892700" w14:textId="77777777" w:rsidR="00857BF2" w:rsidRDefault="00857BF2">
            <w:pPr>
              <w:spacing w:after="0"/>
              <w:jc w:val="both"/>
              <w:rPr>
                <w:rFonts w:ascii="Aptos Narrow" w:eastAsia="Aptos Narrow" w:hAnsi="Aptos Narrow" w:cs="Aptos Narrow"/>
                <w:color w:val="000000" w:themeColor="text1"/>
                <w:sz w:val="22"/>
                <w:szCs w:val="22"/>
              </w:rPr>
            </w:pPr>
          </w:p>
          <w:p w14:paraId="45AA097C"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does not indicate parallelSMTC-r17: </w:t>
            </w:r>
            <w:r w:rsidRPr="0C71F0EE">
              <w:rPr>
                <w:rFonts w:ascii="Aptos Narrow" w:eastAsia="Aptos Narrow" w:hAnsi="Aptos Narrow" w:cs="Aptos Narrow"/>
                <w:color w:val="000000" w:themeColor="text1"/>
                <w:sz w:val="22"/>
                <w:szCs w:val="22"/>
              </w:rPr>
              <w:t>UE is expected to measure</w:t>
            </w:r>
            <w:r>
              <w:rPr>
                <w:rFonts w:ascii="Aptos Narrow" w:eastAsia="Aptos Narrow" w:hAnsi="Aptos Narrow" w:cs="Aptos Narrow"/>
                <w:color w:val="000000" w:themeColor="text1"/>
                <w:sz w:val="22"/>
                <w:szCs w:val="22"/>
              </w:rPr>
              <w:t xml:space="preserve"> </w:t>
            </w:r>
            <w:r w:rsidRPr="0C71F0EE">
              <w:rPr>
                <w:rFonts w:ascii="Aptos Narrow" w:eastAsia="Aptos Narrow" w:hAnsi="Aptos Narrow" w:cs="Aptos Narrow"/>
                <w:color w:val="000000" w:themeColor="text1"/>
                <w:sz w:val="22"/>
                <w:szCs w:val="22"/>
              </w:rPr>
              <w:t xml:space="preserve"> </w:t>
            </w:r>
            <w:r>
              <w:rPr>
                <w:rFonts w:ascii="Aptos Narrow" w:eastAsia="Aptos Narrow" w:hAnsi="Aptos Narrow" w:cs="Aptos Narrow"/>
                <w:color w:val="000000" w:themeColor="text1"/>
                <w:sz w:val="22"/>
                <w:szCs w:val="22"/>
              </w:rPr>
              <w:t>2</w:t>
            </w:r>
            <w:r w:rsidRPr="0C71F0EE">
              <w:rPr>
                <w:rFonts w:ascii="Aptos Narrow" w:eastAsia="Aptos Narrow" w:hAnsi="Aptos Narrow" w:cs="Aptos Narrow"/>
                <w:color w:val="000000" w:themeColor="text1"/>
                <w:sz w:val="22"/>
                <w:szCs w:val="22"/>
              </w:rPr>
              <w:t xml:space="preserve"> SMTCs according to the assistance information</w:t>
            </w:r>
            <w:r>
              <w:rPr>
                <w:rFonts w:ascii="Aptos Narrow" w:eastAsia="Aptos Narrow" w:hAnsi="Aptos Narrow" w:cs="Aptos Narrow"/>
                <w:color w:val="000000" w:themeColor="text1"/>
                <w:sz w:val="22"/>
                <w:szCs w:val="22"/>
              </w:rPr>
              <w:t xml:space="preserve">. According to 38.133 requirements, </w:t>
            </w:r>
            <w:r w:rsidRPr="00FD517D">
              <w:rPr>
                <w:rFonts w:ascii="Aptos Narrow" w:eastAsia="Aptos Narrow" w:hAnsi="Aptos Narrow" w:cs="Aptos Narrow"/>
                <w:b/>
                <w:bCs/>
                <w:color w:val="000000" w:themeColor="text1"/>
                <w:sz w:val="22"/>
                <w:szCs w:val="22"/>
              </w:rPr>
              <w:t>no requirements apply.</w:t>
            </w:r>
          </w:p>
          <w:p w14:paraId="273AB5C3" w14:textId="77777777" w:rsidR="00857BF2" w:rsidRDefault="00857BF2">
            <w:pPr>
              <w:spacing w:after="0"/>
              <w:jc w:val="both"/>
              <w:rPr>
                <w:rFonts w:ascii="Aptos Narrow" w:eastAsia="Aptos Narrow" w:hAnsi="Aptos Narrow" w:cs="Aptos Narrow"/>
                <w:color w:val="000000" w:themeColor="text1"/>
                <w:sz w:val="22"/>
                <w:szCs w:val="22"/>
              </w:rPr>
            </w:pPr>
          </w:p>
        </w:tc>
      </w:tr>
      <w:tr w:rsidR="00857BF2" w14:paraId="504BDF1B" w14:textId="77777777">
        <w:trPr>
          <w:trHeight w:val="870"/>
        </w:trPr>
        <w:tc>
          <w:tcPr>
            <w:tcW w:w="1755" w:type="dxa"/>
            <w:vMerge/>
            <w:tcBorders>
              <w:left w:val="single" w:sz="0" w:space="0" w:color="auto"/>
              <w:right w:val="single" w:sz="0" w:space="0" w:color="auto"/>
            </w:tcBorders>
            <w:vAlign w:val="center"/>
          </w:tcPr>
          <w:p w14:paraId="63F7B85E" w14:textId="77777777" w:rsidR="00857BF2" w:rsidRDefault="00857BF2"/>
        </w:tc>
        <w:tc>
          <w:tcPr>
            <w:tcW w:w="1470" w:type="dxa"/>
            <w:vMerge/>
            <w:tcBorders>
              <w:left w:val="single" w:sz="0" w:space="0" w:color="auto"/>
              <w:bottom w:val="single" w:sz="0" w:space="0" w:color="auto"/>
              <w:right w:val="single" w:sz="0" w:space="0" w:color="auto"/>
            </w:tcBorders>
            <w:vAlign w:val="center"/>
          </w:tcPr>
          <w:p w14:paraId="3168EC1B" w14:textId="77777777" w:rsidR="00857BF2" w:rsidRDefault="00857BF2"/>
        </w:tc>
        <w:tc>
          <w:tcPr>
            <w:tcW w:w="1595" w:type="dxa"/>
            <w:tcBorders>
              <w:top w:val="single" w:sz="4" w:space="0" w:color="auto"/>
              <w:left w:val="nil"/>
              <w:bottom w:val="single" w:sz="4" w:space="0" w:color="auto"/>
              <w:right w:val="nil"/>
            </w:tcBorders>
            <w:tcMar>
              <w:top w:w="15" w:type="dxa"/>
              <w:left w:w="15" w:type="dxa"/>
              <w:right w:w="15" w:type="dxa"/>
            </w:tcMar>
            <w:vAlign w:val="center"/>
          </w:tcPr>
          <w:p w14:paraId="21368840"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UE does not support location assistance information</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15BAD1" w14:textId="77777777" w:rsidR="00857BF2" w:rsidRDefault="00857BF2">
            <w:pPr>
              <w:spacing w:after="0"/>
              <w:jc w:val="both"/>
              <w:rPr>
                <w:rFonts w:ascii="Aptos Narrow" w:eastAsia="Aptos Narrow" w:hAnsi="Aptos Narrow" w:cs="Aptos Narrow"/>
                <w:color w:val="000000" w:themeColor="text1"/>
                <w:sz w:val="22"/>
                <w:szCs w:val="22"/>
              </w:rPr>
            </w:pPr>
            <w:r w:rsidRPr="0C71F0EE">
              <w:rPr>
                <w:rFonts w:ascii="Aptos Narrow" w:eastAsia="Aptos Narrow" w:hAnsi="Aptos Narrow" w:cs="Aptos Narrow"/>
                <w:color w:val="000000" w:themeColor="text1"/>
                <w:sz w:val="22"/>
                <w:szCs w:val="22"/>
              </w:rPr>
              <w:t xml:space="preserve"> </w:t>
            </w:r>
            <w:r>
              <w:rPr>
                <w:rFonts w:ascii="Aptos Narrow" w:eastAsia="Aptos Narrow" w:hAnsi="Aptos Narrow" w:cs="Aptos Narrow"/>
                <w:color w:val="000000" w:themeColor="text1"/>
                <w:sz w:val="22"/>
                <w:szCs w:val="22"/>
              </w:rPr>
              <w:t xml:space="preserve">UE is expected to measure 2 or 4 SMTCs, depending on whether the UE indicates or not parallelSMTC-r17. Not clear which SMTCs will be used. </w:t>
            </w:r>
          </w:p>
          <w:p w14:paraId="10ACCD47"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According to 38.133 requirements, no requirements apply</w:t>
            </w:r>
          </w:p>
        </w:tc>
      </w:tr>
      <w:tr w:rsidR="00857BF2" w14:paraId="004C93BD" w14:textId="77777777">
        <w:trPr>
          <w:trHeight w:val="1275"/>
        </w:trPr>
        <w:tc>
          <w:tcPr>
            <w:tcW w:w="1755" w:type="dxa"/>
            <w:vMerge/>
            <w:tcBorders>
              <w:left w:val="single" w:sz="0" w:space="0" w:color="auto"/>
              <w:right w:val="single" w:sz="0" w:space="0" w:color="auto"/>
            </w:tcBorders>
            <w:vAlign w:val="center"/>
          </w:tcPr>
          <w:p w14:paraId="09BADF23" w14:textId="77777777" w:rsidR="00857BF2" w:rsidRDefault="00857BF2"/>
        </w:tc>
        <w:tc>
          <w:tcPr>
            <w:tcW w:w="1470" w:type="dxa"/>
            <w:vMerge w:val="restart"/>
            <w:tcBorders>
              <w:top w:val="nil"/>
              <w:left w:val="single" w:sz="4" w:space="0" w:color="auto"/>
              <w:bottom w:val="single" w:sz="4" w:space="0" w:color="auto"/>
              <w:right w:val="single" w:sz="4" w:space="0" w:color="auto"/>
            </w:tcBorders>
            <w:tcMar>
              <w:top w:w="15" w:type="dxa"/>
              <w:left w:w="15" w:type="dxa"/>
              <w:right w:w="15" w:type="dxa"/>
            </w:tcMar>
            <w:vAlign w:val="center"/>
          </w:tcPr>
          <w:p w14:paraId="610EEA66" w14:textId="77777777" w:rsidR="00857BF2"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configures </w:t>
            </w:r>
            <w:r w:rsidRPr="0C71F0EE">
              <w:rPr>
                <w:rFonts w:ascii="Aptos Narrow" w:eastAsia="Aptos Narrow" w:hAnsi="Aptos Narrow" w:cs="Aptos Narrow"/>
                <w:b/>
                <w:bCs/>
                <w:color w:val="000000" w:themeColor="text1"/>
                <w:sz w:val="22"/>
                <w:szCs w:val="22"/>
              </w:rPr>
              <w:t xml:space="preserve">up to  </w:t>
            </w:r>
            <w:r>
              <w:rPr>
                <w:rFonts w:ascii="Aptos Narrow" w:eastAsia="Aptos Narrow" w:hAnsi="Aptos Narrow" w:cs="Aptos Narrow"/>
                <w:b/>
                <w:bCs/>
                <w:color w:val="000000" w:themeColor="text1"/>
                <w:sz w:val="22"/>
                <w:szCs w:val="22"/>
              </w:rPr>
              <w:t>4</w:t>
            </w:r>
            <w:r w:rsidRPr="0C71F0EE">
              <w:rPr>
                <w:rFonts w:ascii="Aptos Narrow" w:eastAsia="Aptos Narrow" w:hAnsi="Aptos Narrow" w:cs="Aptos Narrow"/>
                <w:b/>
                <w:bCs/>
                <w:color w:val="000000" w:themeColor="text1"/>
                <w:sz w:val="22"/>
                <w:szCs w:val="22"/>
              </w:rPr>
              <w:t xml:space="preserve"> SMTCs</w:t>
            </w:r>
          </w:p>
        </w:tc>
        <w:tc>
          <w:tcPr>
            <w:tcW w:w="1595"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14433D19"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UE supports location assistance information</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BAD17" w14:textId="77777777" w:rsidR="00857BF2" w:rsidRDefault="00857BF2">
            <w:pPr>
              <w:spacing w:after="0"/>
              <w:jc w:val="both"/>
              <w:rPr>
                <w:rFonts w:ascii="Aptos Narrow" w:eastAsia="Aptos Narrow" w:hAnsi="Aptos Narrow" w:cs="Aptos Narrow"/>
                <w:color w:val="000000" w:themeColor="text1"/>
                <w:sz w:val="22"/>
                <w:szCs w:val="22"/>
              </w:rPr>
            </w:pPr>
            <w:r w:rsidRPr="0C71F0EE">
              <w:rPr>
                <w:rFonts w:ascii="Aptos Narrow" w:eastAsia="Aptos Narrow" w:hAnsi="Aptos Narrow" w:cs="Aptos Narrow"/>
                <w:color w:val="000000" w:themeColor="text1"/>
                <w:sz w:val="22"/>
                <w:szCs w:val="22"/>
              </w:rPr>
              <w:t xml:space="preserve"> </w:t>
            </w:r>
            <w:r>
              <w:rPr>
                <w:rFonts w:ascii="Aptos Narrow" w:eastAsia="Aptos Narrow" w:hAnsi="Aptos Narrow" w:cs="Aptos Narrow"/>
                <w:color w:val="000000" w:themeColor="text1"/>
                <w:sz w:val="22"/>
                <w:szCs w:val="22"/>
              </w:rPr>
              <w:t xml:space="preserve">UE indicates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up to 4</w:t>
            </w:r>
            <w:r w:rsidRPr="0C71F0EE">
              <w:rPr>
                <w:rFonts w:ascii="Aptos Narrow" w:eastAsia="Aptos Narrow" w:hAnsi="Aptos Narrow" w:cs="Aptos Narrow"/>
                <w:color w:val="000000" w:themeColor="text1"/>
                <w:sz w:val="22"/>
                <w:szCs w:val="22"/>
              </w:rPr>
              <w:t xml:space="preserve"> SMTCs </w:t>
            </w:r>
          </w:p>
          <w:p w14:paraId="737C305B" w14:textId="77777777" w:rsidR="00857BF2" w:rsidRDefault="00857BF2">
            <w:pPr>
              <w:spacing w:after="0"/>
              <w:jc w:val="both"/>
              <w:rPr>
                <w:rFonts w:ascii="Aptos Narrow" w:eastAsia="Aptos Narrow" w:hAnsi="Aptos Narrow" w:cs="Aptos Narrow"/>
                <w:color w:val="000000" w:themeColor="text1"/>
                <w:sz w:val="22"/>
                <w:szCs w:val="22"/>
              </w:rPr>
            </w:pPr>
          </w:p>
          <w:p w14:paraId="7E580D90"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does not indicate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up to 2</w:t>
            </w:r>
            <w:r w:rsidRPr="0C71F0EE">
              <w:rPr>
                <w:rFonts w:ascii="Aptos Narrow" w:eastAsia="Aptos Narrow" w:hAnsi="Aptos Narrow" w:cs="Aptos Narrow"/>
                <w:color w:val="000000" w:themeColor="text1"/>
                <w:sz w:val="22"/>
                <w:szCs w:val="22"/>
              </w:rPr>
              <w:t xml:space="preserve"> SMTCs according to the assistance information</w:t>
            </w:r>
            <w:r>
              <w:rPr>
                <w:rFonts w:ascii="Aptos Narrow" w:eastAsia="Aptos Narrow" w:hAnsi="Aptos Narrow" w:cs="Aptos Narrow"/>
                <w:color w:val="000000" w:themeColor="text1"/>
                <w:sz w:val="22"/>
                <w:szCs w:val="22"/>
              </w:rPr>
              <w:t xml:space="preserve">. According to 38.133 requirements, </w:t>
            </w:r>
            <w:r w:rsidRPr="00910D41">
              <w:rPr>
                <w:rFonts w:ascii="Aptos Narrow" w:eastAsia="Aptos Narrow" w:hAnsi="Aptos Narrow" w:cs="Aptos Narrow"/>
                <w:b/>
                <w:bCs/>
                <w:color w:val="000000" w:themeColor="text1"/>
                <w:sz w:val="22"/>
                <w:szCs w:val="22"/>
              </w:rPr>
              <w:t>no requirements apply.</w:t>
            </w:r>
          </w:p>
          <w:p w14:paraId="130D4CEB" w14:textId="77777777" w:rsidR="00857BF2" w:rsidRDefault="00857BF2">
            <w:pPr>
              <w:spacing w:after="0"/>
              <w:jc w:val="both"/>
              <w:rPr>
                <w:rFonts w:ascii="Aptos Narrow" w:eastAsia="Aptos Narrow" w:hAnsi="Aptos Narrow" w:cs="Aptos Narrow"/>
                <w:color w:val="000000" w:themeColor="text1"/>
                <w:sz w:val="22"/>
                <w:szCs w:val="22"/>
              </w:rPr>
            </w:pPr>
          </w:p>
        </w:tc>
      </w:tr>
      <w:tr w:rsidR="00857BF2" w14:paraId="3DF88CB6" w14:textId="77777777">
        <w:trPr>
          <w:trHeight w:val="870"/>
        </w:trPr>
        <w:tc>
          <w:tcPr>
            <w:tcW w:w="1755" w:type="dxa"/>
            <w:vMerge/>
            <w:tcBorders>
              <w:left w:val="single" w:sz="0" w:space="0" w:color="auto"/>
              <w:bottom w:val="single" w:sz="0" w:space="0" w:color="auto"/>
              <w:right w:val="single" w:sz="0" w:space="0" w:color="auto"/>
            </w:tcBorders>
            <w:vAlign w:val="center"/>
          </w:tcPr>
          <w:p w14:paraId="14CC6E43" w14:textId="77777777" w:rsidR="00857BF2" w:rsidRDefault="00857BF2"/>
        </w:tc>
        <w:tc>
          <w:tcPr>
            <w:tcW w:w="1470" w:type="dxa"/>
            <w:vMerge/>
            <w:tcBorders>
              <w:left w:val="single" w:sz="0" w:space="0" w:color="auto"/>
              <w:bottom w:val="single" w:sz="0" w:space="0" w:color="auto"/>
              <w:right w:val="single" w:sz="0" w:space="0" w:color="auto"/>
            </w:tcBorders>
            <w:vAlign w:val="center"/>
          </w:tcPr>
          <w:p w14:paraId="01AEC774" w14:textId="77777777" w:rsidR="00857BF2" w:rsidRDefault="00857BF2"/>
        </w:tc>
        <w:tc>
          <w:tcPr>
            <w:tcW w:w="1595" w:type="dxa"/>
            <w:tcBorders>
              <w:top w:val="single" w:sz="4" w:space="0" w:color="auto"/>
              <w:left w:val="nil"/>
              <w:bottom w:val="nil"/>
              <w:right w:val="nil"/>
            </w:tcBorders>
            <w:tcMar>
              <w:top w:w="15" w:type="dxa"/>
              <w:left w:w="15" w:type="dxa"/>
              <w:right w:w="15" w:type="dxa"/>
            </w:tcMar>
            <w:vAlign w:val="center"/>
          </w:tcPr>
          <w:p w14:paraId="29265715"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UE does not support location assistance information</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E79788"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indicates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up to 4</w:t>
            </w:r>
            <w:r w:rsidRPr="0C71F0EE">
              <w:rPr>
                <w:rFonts w:ascii="Aptos Narrow" w:eastAsia="Aptos Narrow" w:hAnsi="Aptos Narrow" w:cs="Aptos Narrow"/>
                <w:color w:val="000000" w:themeColor="text1"/>
                <w:sz w:val="22"/>
                <w:szCs w:val="22"/>
              </w:rPr>
              <w:t xml:space="preserve"> SMTCs</w:t>
            </w:r>
          </w:p>
          <w:p w14:paraId="55AD0353" w14:textId="77777777" w:rsidR="00857BF2" w:rsidRDefault="00857BF2">
            <w:pPr>
              <w:spacing w:after="0"/>
              <w:jc w:val="both"/>
              <w:rPr>
                <w:rFonts w:ascii="Aptos Narrow" w:eastAsia="Aptos Narrow" w:hAnsi="Aptos Narrow" w:cs="Aptos Narrow"/>
                <w:color w:val="000000" w:themeColor="text1"/>
                <w:sz w:val="22"/>
                <w:szCs w:val="22"/>
              </w:rPr>
            </w:pPr>
          </w:p>
          <w:p w14:paraId="69657140"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does not indicate parallelSMTC-r17: </w:t>
            </w:r>
            <w:r w:rsidRPr="0C71F0EE">
              <w:rPr>
                <w:rFonts w:ascii="Aptos Narrow" w:eastAsia="Aptos Narrow" w:hAnsi="Aptos Narrow" w:cs="Aptos Narrow"/>
                <w:color w:val="000000" w:themeColor="text1"/>
                <w:sz w:val="22"/>
                <w:szCs w:val="22"/>
              </w:rPr>
              <w:t>UE is expected to measure</w:t>
            </w:r>
            <w:r>
              <w:rPr>
                <w:rFonts w:ascii="Aptos Narrow" w:eastAsia="Aptos Narrow" w:hAnsi="Aptos Narrow" w:cs="Aptos Narrow"/>
                <w:color w:val="000000" w:themeColor="text1"/>
                <w:sz w:val="22"/>
                <w:szCs w:val="22"/>
              </w:rPr>
              <w:t xml:space="preserve"> up to </w:t>
            </w:r>
            <w:r w:rsidRPr="0C71F0EE">
              <w:rPr>
                <w:rFonts w:ascii="Aptos Narrow" w:eastAsia="Aptos Narrow" w:hAnsi="Aptos Narrow" w:cs="Aptos Narrow"/>
                <w:color w:val="000000" w:themeColor="text1"/>
                <w:sz w:val="22"/>
                <w:szCs w:val="22"/>
              </w:rPr>
              <w:t xml:space="preserve"> </w:t>
            </w:r>
            <w:r>
              <w:rPr>
                <w:rFonts w:ascii="Aptos Narrow" w:eastAsia="Aptos Narrow" w:hAnsi="Aptos Narrow" w:cs="Aptos Narrow"/>
                <w:color w:val="000000" w:themeColor="text1"/>
                <w:sz w:val="22"/>
                <w:szCs w:val="22"/>
              </w:rPr>
              <w:t>2</w:t>
            </w:r>
            <w:r w:rsidRPr="0C71F0EE">
              <w:rPr>
                <w:rFonts w:ascii="Aptos Narrow" w:eastAsia="Aptos Narrow" w:hAnsi="Aptos Narrow" w:cs="Aptos Narrow"/>
                <w:color w:val="000000" w:themeColor="text1"/>
                <w:sz w:val="22"/>
                <w:szCs w:val="22"/>
              </w:rPr>
              <w:t xml:space="preserve"> SMTCs</w:t>
            </w:r>
            <w:r>
              <w:rPr>
                <w:rFonts w:ascii="Aptos Narrow" w:eastAsia="Aptos Narrow" w:hAnsi="Aptos Narrow" w:cs="Aptos Narrow"/>
                <w:color w:val="000000" w:themeColor="text1"/>
                <w:sz w:val="22"/>
                <w:szCs w:val="22"/>
              </w:rPr>
              <w:t xml:space="preserve">. Not clear which SMTCs will be used. </w:t>
            </w:r>
          </w:p>
          <w:p w14:paraId="73B685E1"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 According to 38.133 requirements, </w:t>
            </w:r>
            <w:r w:rsidRPr="00910D41">
              <w:rPr>
                <w:rFonts w:ascii="Aptos Narrow" w:eastAsia="Aptos Narrow" w:hAnsi="Aptos Narrow" w:cs="Aptos Narrow"/>
                <w:b/>
                <w:bCs/>
                <w:color w:val="000000" w:themeColor="text1"/>
                <w:sz w:val="22"/>
                <w:szCs w:val="22"/>
              </w:rPr>
              <w:t>no requirements apply.</w:t>
            </w:r>
          </w:p>
          <w:p w14:paraId="3C3AFC94" w14:textId="77777777" w:rsidR="00857BF2" w:rsidRDefault="00857BF2">
            <w:pPr>
              <w:spacing w:after="0"/>
              <w:jc w:val="both"/>
              <w:rPr>
                <w:rFonts w:ascii="Aptos Narrow" w:eastAsia="Aptos Narrow" w:hAnsi="Aptos Narrow" w:cs="Aptos Narrow"/>
                <w:color w:val="000000" w:themeColor="text1"/>
                <w:sz w:val="22"/>
                <w:szCs w:val="22"/>
              </w:rPr>
            </w:pPr>
          </w:p>
        </w:tc>
      </w:tr>
      <w:tr w:rsidR="00857BF2" w14:paraId="59C62F28" w14:textId="77777777">
        <w:trPr>
          <w:trHeight w:val="1260"/>
        </w:trPr>
        <w:tc>
          <w:tcPr>
            <w:tcW w:w="175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3AFEE2"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w:t>
            </w:r>
            <w:r w:rsidRPr="0C71F0EE">
              <w:rPr>
                <w:rFonts w:ascii="Aptos Narrow" w:eastAsia="Aptos Narrow" w:hAnsi="Aptos Narrow" w:cs="Aptos Narrow"/>
                <w:b/>
                <w:bCs/>
                <w:color w:val="000000" w:themeColor="text1"/>
                <w:sz w:val="22"/>
                <w:szCs w:val="22"/>
              </w:rPr>
              <w:t>does not configure</w:t>
            </w:r>
            <w:r w:rsidRPr="00FD517D">
              <w:rPr>
                <w:rFonts w:ascii="Aptos Narrow" w:eastAsia="Aptos Narrow" w:hAnsi="Aptos Narrow" w:cs="Aptos Narrow"/>
                <w:b/>
                <w:bCs/>
                <w:color w:val="000000" w:themeColor="text1"/>
                <w:sz w:val="22"/>
                <w:szCs w:val="22"/>
              </w:rPr>
              <w:t xml:space="preserve"> location assistance information</w:t>
            </w:r>
          </w:p>
        </w:tc>
        <w:tc>
          <w:tcPr>
            <w:tcW w:w="147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50D2A3" w14:textId="77777777" w:rsidR="00857BF2"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configures </w:t>
            </w:r>
            <w:r w:rsidRPr="0C71F0EE">
              <w:rPr>
                <w:rFonts w:ascii="Aptos Narrow" w:eastAsia="Aptos Narrow" w:hAnsi="Aptos Narrow" w:cs="Aptos Narrow"/>
                <w:b/>
                <w:bCs/>
                <w:color w:val="000000" w:themeColor="text1"/>
                <w:sz w:val="22"/>
                <w:szCs w:val="22"/>
              </w:rPr>
              <w:t xml:space="preserve">more than </w:t>
            </w:r>
            <w:r>
              <w:rPr>
                <w:rFonts w:ascii="Aptos Narrow" w:eastAsia="Aptos Narrow" w:hAnsi="Aptos Narrow" w:cs="Aptos Narrow"/>
                <w:b/>
                <w:bCs/>
                <w:color w:val="000000" w:themeColor="text1"/>
                <w:sz w:val="22"/>
                <w:szCs w:val="22"/>
              </w:rPr>
              <w:t>4</w:t>
            </w:r>
            <w:r w:rsidRPr="0C71F0EE">
              <w:rPr>
                <w:rFonts w:ascii="Aptos Narrow" w:eastAsia="Aptos Narrow" w:hAnsi="Aptos Narrow" w:cs="Aptos Narrow"/>
                <w:b/>
                <w:bCs/>
                <w:color w:val="000000" w:themeColor="text1"/>
                <w:sz w:val="22"/>
                <w:szCs w:val="22"/>
              </w:rPr>
              <w:t xml:space="preserve"> SMTCs</w:t>
            </w:r>
          </w:p>
        </w:tc>
        <w:tc>
          <w:tcPr>
            <w:tcW w:w="15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AD62F9"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All UEs</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BADE4A" w14:textId="77777777" w:rsidR="00857BF2" w:rsidRDefault="00857BF2">
            <w:pPr>
              <w:spacing w:after="0"/>
              <w:jc w:val="both"/>
              <w:rPr>
                <w:rFonts w:ascii="Aptos Narrow" w:eastAsia="Aptos Narrow" w:hAnsi="Aptos Narrow" w:cs="Aptos Narrow"/>
                <w:color w:val="000000" w:themeColor="text1"/>
                <w:sz w:val="22"/>
                <w:szCs w:val="22"/>
              </w:rPr>
            </w:pPr>
            <w:r w:rsidRPr="0C71F0EE">
              <w:rPr>
                <w:rFonts w:ascii="Aptos Narrow" w:eastAsia="Aptos Narrow" w:hAnsi="Aptos Narrow" w:cs="Aptos Narrow"/>
                <w:color w:val="000000" w:themeColor="text1"/>
                <w:sz w:val="22"/>
                <w:szCs w:val="22"/>
              </w:rPr>
              <w:t xml:space="preserve"> </w:t>
            </w:r>
            <w:r>
              <w:rPr>
                <w:rFonts w:ascii="Aptos Narrow" w:eastAsia="Aptos Narrow" w:hAnsi="Aptos Narrow" w:cs="Aptos Narrow"/>
                <w:color w:val="000000" w:themeColor="text1"/>
                <w:sz w:val="22"/>
                <w:szCs w:val="22"/>
              </w:rPr>
              <w:t xml:space="preserve">UE is expected to measure 2 or 4 SMTCs, depending on whether the UE indicates or not parallelSMTC-r17. Not clear which SMTCs will be used. </w:t>
            </w:r>
          </w:p>
          <w:p w14:paraId="75EE808A"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According to 38.133 requirements, no requirements apply</w:t>
            </w:r>
          </w:p>
        </w:tc>
      </w:tr>
      <w:tr w:rsidR="00857BF2" w14:paraId="558541DD" w14:textId="77777777">
        <w:trPr>
          <w:trHeight w:val="525"/>
        </w:trPr>
        <w:tc>
          <w:tcPr>
            <w:tcW w:w="1755" w:type="dxa"/>
            <w:vMerge/>
            <w:tcBorders>
              <w:left w:val="single" w:sz="0" w:space="0" w:color="auto"/>
              <w:bottom w:val="single" w:sz="0" w:space="0" w:color="auto"/>
              <w:right w:val="single" w:sz="0" w:space="0" w:color="auto"/>
            </w:tcBorders>
            <w:vAlign w:val="center"/>
          </w:tcPr>
          <w:p w14:paraId="230C09A5" w14:textId="77777777" w:rsidR="00857BF2" w:rsidRDefault="00857BF2"/>
        </w:tc>
        <w:tc>
          <w:tcPr>
            <w:tcW w:w="1470"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FDAB8F0" w14:textId="77777777" w:rsidR="00857BF2"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 xml:space="preserve">gNB configures </w:t>
            </w:r>
            <w:r w:rsidRPr="0C71F0EE">
              <w:rPr>
                <w:rFonts w:ascii="Aptos Narrow" w:eastAsia="Aptos Narrow" w:hAnsi="Aptos Narrow" w:cs="Aptos Narrow"/>
                <w:b/>
                <w:bCs/>
                <w:color w:val="000000" w:themeColor="text1"/>
                <w:sz w:val="22"/>
                <w:szCs w:val="22"/>
              </w:rPr>
              <w:t xml:space="preserve">up to </w:t>
            </w:r>
            <w:r>
              <w:rPr>
                <w:rFonts w:ascii="Aptos Narrow" w:eastAsia="Aptos Narrow" w:hAnsi="Aptos Narrow" w:cs="Aptos Narrow"/>
                <w:b/>
                <w:bCs/>
                <w:color w:val="000000" w:themeColor="text1"/>
                <w:sz w:val="22"/>
                <w:szCs w:val="22"/>
              </w:rPr>
              <w:t xml:space="preserve">4 </w:t>
            </w:r>
            <w:r w:rsidRPr="0C71F0EE">
              <w:rPr>
                <w:rFonts w:ascii="Aptos Narrow" w:eastAsia="Aptos Narrow" w:hAnsi="Aptos Narrow" w:cs="Aptos Narrow"/>
                <w:b/>
                <w:bCs/>
                <w:color w:val="000000" w:themeColor="text1"/>
                <w:sz w:val="22"/>
                <w:szCs w:val="22"/>
              </w:rPr>
              <w:t>SMTCs</w:t>
            </w:r>
          </w:p>
        </w:tc>
        <w:tc>
          <w:tcPr>
            <w:tcW w:w="15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F5994B" w14:textId="77777777" w:rsidR="00857BF2" w:rsidRPr="00FD517D" w:rsidRDefault="00857BF2">
            <w:pPr>
              <w:spacing w:after="0"/>
              <w:jc w:val="both"/>
              <w:rPr>
                <w:rFonts w:ascii="Aptos Narrow" w:eastAsia="Aptos Narrow" w:hAnsi="Aptos Narrow" w:cs="Aptos Narrow"/>
                <w:b/>
                <w:bCs/>
                <w:color w:val="000000" w:themeColor="text1"/>
                <w:sz w:val="22"/>
                <w:szCs w:val="22"/>
              </w:rPr>
            </w:pPr>
            <w:r w:rsidRPr="00FD517D">
              <w:rPr>
                <w:rFonts w:ascii="Aptos Narrow" w:eastAsia="Aptos Narrow" w:hAnsi="Aptos Narrow" w:cs="Aptos Narrow"/>
                <w:b/>
                <w:bCs/>
                <w:color w:val="000000" w:themeColor="text1"/>
                <w:sz w:val="22"/>
                <w:szCs w:val="22"/>
              </w:rPr>
              <w:t>All UEs</w:t>
            </w:r>
          </w:p>
        </w:tc>
        <w:tc>
          <w:tcPr>
            <w:tcW w:w="51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069E5F"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indicates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up to 4</w:t>
            </w:r>
            <w:r w:rsidRPr="0C71F0EE">
              <w:rPr>
                <w:rFonts w:ascii="Aptos Narrow" w:eastAsia="Aptos Narrow" w:hAnsi="Aptos Narrow" w:cs="Aptos Narrow"/>
                <w:color w:val="000000" w:themeColor="text1"/>
                <w:sz w:val="22"/>
                <w:szCs w:val="22"/>
              </w:rPr>
              <w:t xml:space="preserve"> SMTCs</w:t>
            </w:r>
          </w:p>
          <w:p w14:paraId="01F69156" w14:textId="77777777" w:rsidR="00857BF2" w:rsidRDefault="00857BF2">
            <w:pPr>
              <w:spacing w:after="0"/>
              <w:jc w:val="both"/>
              <w:rPr>
                <w:rFonts w:ascii="Aptos Narrow" w:eastAsia="Aptos Narrow" w:hAnsi="Aptos Narrow" w:cs="Aptos Narrow"/>
                <w:color w:val="000000" w:themeColor="text1"/>
                <w:sz w:val="22"/>
                <w:szCs w:val="22"/>
              </w:rPr>
            </w:pPr>
          </w:p>
          <w:p w14:paraId="6B32363B" w14:textId="77777777" w:rsidR="00857BF2"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UE does not indicate parallelSMTC-r17: </w:t>
            </w:r>
            <w:r w:rsidRPr="0C71F0EE">
              <w:rPr>
                <w:rFonts w:ascii="Aptos Narrow" w:eastAsia="Aptos Narrow" w:hAnsi="Aptos Narrow" w:cs="Aptos Narrow"/>
                <w:color w:val="000000" w:themeColor="text1"/>
                <w:sz w:val="22"/>
                <w:szCs w:val="22"/>
              </w:rPr>
              <w:t xml:space="preserve">UE is expected to measure </w:t>
            </w:r>
            <w:r>
              <w:rPr>
                <w:rFonts w:ascii="Aptos Narrow" w:eastAsia="Aptos Narrow" w:hAnsi="Aptos Narrow" w:cs="Aptos Narrow"/>
                <w:color w:val="000000" w:themeColor="text1"/>
                <w:sz w:val="22"/>
                <w:szCs w:val="22"/>
              </w:rPr>
              <w:t>up to 2</w:t>
            </w:r>
            <w:r w:rsidRPr="0C71F0EE">
              <w:rPr>
                <w:rFonts w:ascii="Aptos Narrow" w:eastAsia="Aptos Narrow" w:hAnsi="Aptos Narrow" w:cs="Aptos Narrow"/>
                <w:color w:val="000000" w:themeColor="text1"/>
                <w:sz w:val="22"/>
                <w:szCs w:val="22"/>
              </w:rPr>
              <w:t xml:space="preserve"> SMTCs</w:t>
            </w:r>
            <w:r>
              <w:rPr>
                <w:rFonts w:ascii="Aptos Narrow" w:eastAsia="Aptos Narrow" w:hAnsi="Aptos Narrow" w:cs="Aptos Narrow"/>
                <w:color w:val="000000" w:themeColor="text1"/>
                <w:sz w:val="22"/>
                <w:szCs w:val="22"/>
              </w:rPr>
              <w:t xml:space="preserve">. Not clear which SMTCs will be used. </w:t>
            </w:r>
          </w:p>
          <w:p w14:paraId="005752CD" w14:textId="77777777" w:rsidR="00857BF2" w:rsidRPr="003B3BBE" w:rsidRDefault="00857BF2">
            <w:pPr>
              <w:spacing w:after="0"/>
              <w:jc w:val="both"/>
              <w:rPr>
                <w:rFonts w:ascii="Aptos Narrow" w:eastAsia="Aptos Narrow" w:hAnsi="Aptos Narrow" w:cs="Aptos Narrow"/>
                <w:color w:val="000000" w:themeColor="text1"/>
                <w:sz w:val="22"/>
                <w:szCs w:val="22"/>
              </w:rPr>
            </w:pPr>
            <w:r>
              <w:rPr>
                <w:rFonts w:ascii="Aptos Narrow" w:eastAsia="Aptos Narrow" w:hAnsi="Aptos Narrow" w:cs="Aptos Narrow"/>
                <w:color w:val="000000" w:themeColor="text1"/>
                <w:sz w:val="22"/>
                <w:szCs w:val="22"/>
              </w:rPr>
              <w:t xml:space="preserve"> According to 38.133 requirements, </w:t>
            </w:r>
            <w:r w:rsidRPr="00910D41">
              <w:rPr>
                <w:rFonts w:ascii="Aptos Narrow" w:eastAsia="Aptos Narrow" w:hAnsi="Aptos Narrow" w:cs="Aptos Narrow"/>
                <w:b/>
                <w:bCs/>
                <w:color w:val="000000" w:themeColor="text1"/>
                <w:sz w:val="22"/>
                <w:szCs w:val="22"/>
              </w:rPr>
              <w:t>no requirements apply</w:t>
            </w:r>
            <w:r>
              <w:rPr>
                <w:rFonts w:ascii="Aptos Narrow" w:eastAsia="Aptos Narrow" w:hAnsi="Aptos Narrow" w:cs="Aptos Narrow"/>
                <w:b/>
                <w:bCs/>
                <w:color w:val="000000" w:themeColor="text1"/>
                <w:sz w:val="22"/>
                <w:szCs w:val="22"/>
              </w:rPr>
              <w:t xml:space="preserve"> </w:t>
            </w:r>
            <w:r w:rsidRPr="00FD517D">
              <w:rPr>
                <w:rFonts w:ascii="Aptos Narrow" w:eastAsia="Aptos Narrow" w:hAnsi="Aptos Narrow" w:cs="Aptos Narrow"/>
                <w:color w:val="000000" w:themeColor="text1"/>
                <w:sz w:val="22"/>
                <w:szCs w:val="22"/>
              </w:rPr>
              <w:t>if the UE is configured with more than 2 SMTCs.</w:t>
            </w:r>
          </w:p>
          <w:p w14:paraId="3110331A" w14:textId="77777777" w:rsidR="00857BF2" w:rsidRDefault="00857BF2">
            <w:pPr>
              <w:spacing w:after="0"/>
              <w:jc w:val="both"/>
              <w:rPr>
                <w:rFonts w:ascii="Aptos Narrow" w:eastAsia="Aptos Narrow" w:hAnsi="Aptos Narrow" w:cs="Aptos Narrow"/>
                <w:color w:val="000000" w:themeColor="text1"/>
                <w:sz w:val="22"/>
                <w:szCs w:val="22"/>
              </w:rPr>
            </w:pPr>
          </w:p>
        </w:tc>
      </w:tr>
    </w:tbl>
    <w:p w14:paraId="6284FFC6" w14:textId="77777777" w:rsidR="00857BF2" w:rsidRDefault="00857BF2" w:rsidP="005862D6">
      <w:pPr>
        <w:rPr>
          <w:b/>
          <w:bCs/>
        </w:rPr>
      </w:pPr>
    </w:p>
    <w:p w14:paraId="0CA19D5F" w14:textId="60900BFC" w:rsidR="0038404F" w:rsidRDefault="0038404F" w:rsidP="00857BF2">
      <w:pPr>
        <w:pStyle w:val="Heading2"/>
      </w:pPr>
      <w:r>
        <w:t>2.1</w:t>
      </w:r>
      <w:r>
        <w:tab/>
        <w:t>Considerations on the current RAN2 solution</w:t>
      </w:r>
    </w:p>
    <w:p w14:paraId="2F1EF039" w14:textId="77777777" w:rsidR="0038404F" w:rsidRDefault="0038404F" w:rsidP="0038404F">
      <w:r>
        <w:t>RAN2 has discussed whether the additional SMTCs should be configured in a new list i.e. SMTC5, or how to include the list. In legacy, the UE defaults to SMTC1 in case it does not support SMTC4 i.e. it does not support more than 2 SMTCs. In order to follow this concept, we believe that RAN2 should consider adding SMTC5 as an additional extension to SMTC4, where the UE can default to SMTC4 in case it does not support SMTC5.</w:t>
      </w:r>
    </w:p>
    <w:p w14:paraId="50F282B6" w14:textId="6937B8BC" w:rsidR="0038404F" w:rsidRPr="00FD517D" w:rsidRDefault="0038404F" w:rsidP="0038404F">
      <w:pPr>
        <w:rPr>
          <w:b/>
          <w:bCs/>
        </w:rPr>
      </w:pPr>
      <w:r w:rsidRPr="00FD517D">
        <w:rPr>
          <w:b/>
          <w:bCs/>
        </w:rPr>
        <w:t xml:space="preserve">Proposal </w:t>
      </w:r>
      <w:r w:rsidR="00B56BA5">
        <w:rPr>
          <w:b/>
          <w:bCs/>
        </w:rPr>
        <w:t>1</w:t>
      </w:r>
      <w:r w:rsidRPr="00FD517D">
        <w:rPr>
          <w:b/>
          <w:bCs/>
        </w:rPr>
        <w:t>: SMTC4 is the fallback in case SMTC5 is not supported by the UE</w:t>
      </w:r>
      <w:r w:rsidR="00C11DA1">
        <w:rPr>
          <w:b/>
          <w:bCs/>
        </w:rPr>
        <w:t xml:space="preserve"> similarly as SMTC1 is fallback in case the UE does not support SMTC4</w:t>
      </w:r>
      <w:r w:rsidRPr="00FD517D">
        <w:rPr>
          <w:b/>
          <w:bCs/>
        </w:rPr>
        <w:t>.</w:t>
      </w:r>
    </w:p>
    <w:p w14:paraId="028D6F51" w14:textId="278AD199" w:rsidR="0038404F" w:rsidRDefault="0038404F" w:rsidP="0038404F">
      <w:r w:rsidRPr="00FD517D">
        <w:t>From</w:t>
      </w:r>
      <w:r>
        <w:t xml:space="preserve"> the </w:t>
      </w:r>
      <w:r>
        <w:t>above table</w:t>
      </w:r>
      <w:r>
        <w:t>, we see that the network in general will be very uncertain which SSB will be reported, as RAN2 agreed to give the UE complete freedom to utilise the assistance as it finds suitable. There is a risk that RAN4 will reply that the solution provided is feasible only in case there is a well defined procedure for which SMTC the UE should be using. As of such RAN2 can discuss in this meeting whether or not we will drop the location based solution, or apply i.e. a prioritisation of SSBs in case RAN4 replies that such information is needed to design the solution.</w:t>
      </w:r>
    </w:p>
    <w:p w14:paraId="06F418D2" w14:textId="75807C04" w:rsidR="0038404F" w:rsidRPr="00FD517D" w:rsidRDefault="0038404F" w:rsidP="0038404F">
      <w:pPr>
        <w:rPr>
          <w:b/>
          <w:bCs/>
        </w:rPr>
      </w:pPr>
      <w:r w:rsidRPr="00FD517D">
        <w:rPr>
          <w:b/>
          <w:bCs/>
        </w:rPr>
        <w:t xml:space="preserve">Proposal </w:t>
      </w:r>
      <w:r w:rsidR="00B56BA5">
        <w:rPr>
          <w:b/>
          <w:bCs/>
        </w:rPr>
        <w:t>2</w:t>
      </w:r>
      <w:r w:rsidRPr="00FD517D">
        <w:rPr>
          <w:b/>
          <w:bCs/>
        </w:rPr>
        <w:t xml:space="preserve">: RAN2 to discuss how to </w:t>
      </w:r>
      <w:r w:rsidR="00B56BA5">
        <w:rPr>
          <w:b/>
          <w:bCs/>
        </w:rPr>
        <w:t>restrics</w:t>
      </w:r>
      <w:r w:rsidRPr="00FD517D">
        <w:rPr>
          <w:b/>
          <w:bCs/>
        </w:rPr>
        <w:t xml:space="preserve"> the UE freedom when legacy SSB and SMTC is configured</w:t>
      </w:r>
      <w:r>
        <w:rPr>
          <w:b/>
          <w:bCs/>
        </w:rPr>
        <w:t xml:space="preserve"> in order to prepare for RAN4 reply that such prioritisation is needed for the solution to be acceptable</w:t>
      </w:r>
      <w:r w:rsidRPr="00FD517D">
        <w:rPr>
          <w:b/>
          <w:bCs/>
        </w:rPr>
        <w:t>.</w:t>
      </w:r>
    </w:p>
    <w:p w14:paraId="791FC954" w14:textId="6C9AEFC9" w:rsidR="0038404F" w:rsidRDefault="0038404F" w:rsidP="00272235">
      <w:pPr>
        <w:pStyle w:val="Heading2"/>
      </w:pPr>
      <w:r>
        <w:t>2.2</w:t>
      </w:r>
      <w:r>
        <w:tab/>
        <w:t>Coordinated network deployment</w:t>
      </w:r>
    </w:p>
    <w:p w14:paraId="3F59178C" w14:textId="4E398781" w:rsidR="00E16757" w:rsidRDefault="00FF4F21" w:rsidP="00E16757">
      <w:r>
        <w:t xml:space="preserve">As of </w:t>
      </w:r>
      <w:r w:rsidR="00B56BA5">
        <w:t>the considerations mentioned in the previous sections</w:t>
      </w:r>
      <w:r>
        <w:t>, we think that alternative</w:t>
      </w:r>
      <w:r w:rsidR="00F20D72">
        <w:t xml:space="preserve"> working solution should be discussed,</w:t>
      </w:r>
      <w:r w:rsidR="000D0D87">
        <w:t xml:space="preserve"> </w:t>
      </w:r>
      <w:r w:rsidR="002B0588">
        <w:t xml:space="preserve">enabling </w:t>
      </w:r>
      <w:r w:rsidR="00410EFA">
        <w:t xml:space="preserve">energy savings at the network with </w:t>
      </w:r>
      <w:r w:rsidR="000A5546">
        <w:t>through an alternate solution, not including RAN4 to the same extend</w:t>
      </w:r>
      <w:r w:rsidR="002C428F">
        <w:t xml:space="preserve"> w.r.t. requirements for </w:t>
      </w:r>
      <w:r w:rsidR="000D01E1">
        <w:t>measurement reqiurements</w:t>
      </w:r>
      <w:r w:rsidR="000A5546">
        <w:t>. The</w:t>
      </w:r>
      <w:r w:rsidR="00E16757" w:rsidDel="000A5546">
        <w:t xml:space="preserve"> </w:t>
      </w:r>
      <w:r w:rsidR="000A5546">
        <w:t xml:space="preserve">alternative </w:t>
      </w:r>
      <w:r w:rsidR="00E16757">
        <w:t xml:space="preserve">to the location based approach, </w:t>
      </w:r>
      <w:r w:rsidR="006F7073">
        <w:t>enabl</w:t>
      </w:r>
      <w:r w:rsidR="000A5546">
        <w:t>es</w:t>
      </w:r>
      <w:r w:rsidR="00E16757">
        <w:t xml:space="preserve"> the network </w:t>
      </w:r>
      <w:r w:rsidR="006F7073">
        <w:t>to</w:t>
      </w:r>
      <w:r w:rsidR="00E16757">
        <w:t xml:space="preserve"> configure the availability of the neighbouring cells SSBs</w:t>
      </w:r>
      <w:r w:rsidR="00D5737C">
        <w:t xml:space="preserve"> (from the same satellite)</w:t>
      </w:r>
      <w:r w:rsidR="00E16757">
        <w:t xml:space="preserve"> in a coordinated manner</w:t>
      </w:r>
      <w:r w:rsidR="006F7073">
        <w:t xml:space="preserve"> and provide </w:t>
      </w:r>
      <w:r w:rsidR="00916DCB">
        <w:t xml:space="preserve">simpler, </w:t>
      </w:r>
      <w:r w:rsidR="006F7073">
        <w:t>assistance information may be more optimal</w:t>
      </w:r>
      <w:r w:rsidR="00E16757">
        <w:t xml:space="preserve">. For example, the </w:t>
      </w:r>
      <w:r w:rsidR="006F7073">
        <w:t xml:space="preserve">network could configure </w:t>
      </w:r>
      <w:r w:rsidR="00E16757">
        <w:t xml:space="preserve">time offsets in which the SSBs of the different neighbor cells are available </w:t>
      </w:r>
      <w:r w:rsidR="00916DCB">
        <w:t>as</w:t>
      </w:r>
      <w:r w:rsidR="00E16757">
        <w:t xml:space="preserve"> a multiple of 20 ms. This situation is illustrated in Figure 3. </w:t>
      </w:r>
    </w:p>
    <w:p w14:paraId="57E93697" w14:textId="77777777" w:rsidR="00E16757" w:rsidRDefault="00E16757" w:rsidP="00E16757">
      <w:pPr>
        <w:keepNext/>
        <w:jc w:val="center"/>
      </w:pPr>
      <w:r>
        <w:rPr>
          <w:noProof/>
        </w:rPr>
        <w:lastRenderedPageBreak/>
        <w:drawing>
          <wp:inline distT="0" distB="0" distL="0" distR="0" wp14:anchorId="5FCE2EEF" wp14:editId="03EB7905">
            <wp:extent cx="4279392" cy="1563769"/>
            <wp:effectExtent l="0" t="0" r="6985" b="0"/>
            <wp:docPr id="1137020278" name="Picture 1" descr="A diagram of different colored rectangula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20278" name="Picture 1" descr="A diagram of different colored rectangular objects&#10;&#10;AI-generated content may be incorrect."/>
                    <pic:cNvPicPr/>
                  </pic:nvPicPr>
                  <pic:blipFill>
                    <a:blip r:embed="rId13"/>
                    <a:stretch>
                      <a:fillRect/>
                    </a:stretch>
                  </pic:blipFill>
                  <pic:spPr>
                    <a:xfrm>
                      <a:off x="0" y="0"/>
                      <a:ext cx="4301939" cy="1572008"/>
                    </a:xfrm>
                    <a:prstGeom prst="rect">
                      <a:avLst/>
                    </a:prstGeom>
                  </pic:spPr>
                </pic:pic>
              </a:graphicData>
            </a:graphic>
          </wp:inline>
        </w:drawing>
      </w:r>
    </w:p>
    <w:p w14:paraId="28E02BCE" w14:textId="246BE162" w:rsidR="00E16757" w:rsidRDefault="00E16757" w:rsidP="00E16757">
      <w:pPr>
        <w:pStyle w:val="Caption"/>
        <w:jc w:val="center"/>
      </w:pPr>
      <w:bookmarkStart w:id="0" w:name="_Ref193912983"/>
      <w:r>
        <w:t xml:space="preserve">Figure </w:t>
      </w:r>
      <w:r>
        <w:fldChar w:fldCharType="begin"/>
      </w:r>
      <w:r>
        <w:instrText xml:space="preserve"> SEQ Figure \* ARABIC </w:instrText>
      </w:r>
      <w:r>
        <w:fldChar w:fldCharType="separate"/>
      </w:r>
      <w:r w:rsidR="009F17D6">
        <w:rPr>
          <w:noProof/>
        </w:rPr>
        <w:t>1</w:t>
      </w:r>
      <w:r>
        <w:fldChar w:fldCharType="end"/>
      </w:r>
      <w:bookmarkEnd w:id="0"/>
      <w:r>
        <w:t xml:space="preserve"> – Example of one SMTC being configured to measure SSBs with regular time offsets</w:t>
      </w:r>
    </w:p>
    <w:p w14:paraId="3AFD355C" w14:textId="19ED973E" w:rsidR="00E16757" w:rsidRDefault="00E16757" w:rsidP="00E16757">
      <w:pPr>
        <w:jc w:val="both"/>
      </w:pPr>
      <w:r>
        <w:t>In such case, w</w:t>
      </w:r>
      <w:r w:rsidRPr="009970A4">
        <w:t xml:space="preserve">e assume that the SSBs of DL-CE cells will be available </w:t>
      </w:r>
      <w:r>
        <w:t xml:space="preserve">for measurements </w:t>
      </w:r>
      <w:r w:rsidRPr="009970A4">
        <w:t>at least with a default periodicity supported in NR: 20ms or 160 ms.</w:t>
      </w:r>
      <w:r>
        <w:t xml:space="preserve"> Based on the deployment in </w:t>
      </w:r>
      <w:r>
        <w:fldChar w:fldCharType="begin"/>
      </w:r>
      <w:r>
        <w:instrText xml:space="preserve"> REF _Ref193912983 \h  \* MERGEFORMAT </w:instrText>
      </w:r>
      <w:r>
        <w:fldChar w:fldCharType="separate"/>
      </w:r>
      <w:r>
        <w:t xml:space="preserve">Figure </w:t>
      </w:r>
      <w:r w:rsidR="009F17D6">
        <w:rPr>
          <w:noProof/>
        </w:rPr>
        <w:t>1</w:t>
      </w:r>
      <w:r>
        <w:fldChar w:fldCharType="end"/>
      </w:r>
      <w:r>
        <w:t xml:space="preserve"> and that all the supported SSB periodicities longer than 20 ms in NR are multiple of 20 ms. It is possible that with a SMTC periodicity shorter than the SSB periodicity the UE can measure SSBs from the neighbour cells that are not active at the same time if the time offset between the SSBs is regular. However, the UE would need to be provided with assistance information, such as the SSBs periodicity, and the time offsets between the SSBs measured in the same SMTC. It is a matter of network configuration and of the network providing the necessary information for the UE to measure the neighbor cells.</w:t>
      </w:r>
    </w:p>
    <w:p w14:paraId="1EF4D4C1" w14:textId="1D69D97C" w:rsidR="00E16757" w:rsidRDefault="00E16757" w:rsidP="00E16757">
      <w:pPr>
        <w:rPr>
          <w:b/>
          <w:bCs/>
        </w:rPr>
      </w:pPr>
      <w:r w:rsidRPr="00274571">
        <w:rPr>
          <w:b/>
          <w:bCs/>
        </w:rPr>
        <w:t xml:space="preserve">Observation </w:t>
      </w:r>
      <w:r w:rsidR="002F0DA6">
        <w:rPr>
          <w:b/>
          <w:bCs/>
        </w:rPr>
        <w:t>2</w:t>
      </w:r>
      <w:r w:rsidRPr="00274571">
        <w:rPr>
          <w:b/>
          <w:bCs/>
        </w:rPr>
        <w:t xml:space="preserve">: </w:t>
      </w:r>
      <w:r>
        <w:rPr>
          <w:b/>
          <w:bCs/>
        </w:rPr>
        <w:t xml:space="preserve">The relevant information for configuring the UE to measure neighbor cells that are active in a scattered manner in the same or different satellites are: periodicity and time offset. </w:t>
      </w:r>
    </w:p>
    <w:p w14:paraId="5548E8CA" w14:textId="3EDA6B37" w:rsidR="00780958" w:rsidRDefault="00E16757" w:rsidP="00E16757">
      <w:pPr>
        <w:rPr>
          <w:b/>
          <w:bCs/>
        </w:rPr>
      </w:pPr>
      <w:r>
        <w:rPr>
          <w:b/>
          <w:bCs/>
        </w:rPr>
        <w:t xml:space="preserve">Proposal </w:t>
      </w:r>
      <w:r w:rsidR="002F0DA6">
        <w:rPr>
          <w:b/>
          <w:bCs/>
        </w:rPr>
        <w:t>3</w:t>
      </w:r>
      <w:r>
        <w:rPr>
          <w:b/>
          <w:bCs/>
        </w:rPr>
        <w:t>: gNB</w:t>
      </w:r>
      <w:r w:rsidR="00675F8E">
        <w:rPr>
          <w:b/>
          <w:bCs/>
        </w:rPr>
        <w:t xml:space="preserve"> may</w:t>
      </w:r>
      <w:r>
        <w:rPr>
          <w:b/>
          <w:bCs/>
        </w:rPr>
        <w:t xml:space="preserve"> provide the neighbor cells SSB periodicities and time offsets</w:t>
      </w:r>
      <w:r w:rsidR="00485540">
        <w:rPr>
          <w:b/>
          <w:bCs/>
        </w:rPr>
        <w:t xml:space="preserve"> in relation to the serving cell SSB</w:t>
      </w:r>
      <w:r w:rsidR="00675F8E">
        <w:rPr>
          <w:b/>
          <w:bCs/>
        </w:rPr>
        <w:t xml:space="preserve"> in addition or as a replacement to the location</w:t>
      </w:r>
      <w:r>
        <w:rPr>
          <w:b/>
          <w:bCs/>
        </w:rPr>
        <w:t>.</w:t>
      </w:r>
    </w:p>
    <w:p w14:paraId="7FBCC681" w14:textId="06E42015" w:rsidR="00780958" w:rsidRPr="00272235" w:rsidRDefault="00780958" w:rsidP="00E16757">
      <w:r w:rsidRPr="00272235">
        <w:t>I</w:t>
      </w:r>
      <w:r>
        <w:t xml:space="preserve">n case both solutions are adopted, the UE may determine the </w:t>
      </w:r>
      <w:r w:rsidR="008C443D">
        <w:t>current configuration based on the assistance information provided, and act accordingly.</w:t>
      </w:r>
    </w:p>
    <w:p w14:paraId="3192AAC9" w14:textId="0027912D" w:rsidR="00E16757" w:rsidRDefault="008C443D" w:rsidP="00E16757">
      <w:pPr>
        <w:rPr>
          <w:b/>
          <w:bCs/>
        </w:rPr>
      </w:pPr>
      <w:r>
        <w:rPr>
          <w:b/>
          <w:bCs/>
        </w:rPr>
        <w:t xml:space="preserve">Proposal </w:t>
      </w:r>
      <w:r w:rsidR="002F0DA6">
        <w:rPr>
          <w:b/>
          <w:bCs/>
        </w:rPr>
        <w:t>4</w:t>
      </w:r>
      <w:r>
        <w:rPr>
          <w:b/>
          <w:bCs/>
        </w:rPr>
        <w:t>: In case both location based and the coordinated procedure is adopted, RAN2 to discuss</w:t>
      </w:r>
      <w:r w:rsidR="00675F8E">
        <w:rPr>
          <w:b/>
          <w:bCs/>
        </w:rPr>
        <w:t xml:space="preserve"> whether the assistance information </w:t>
      </w:r>
      <w:r>
        <w:rPr>
          <w:b/>
          <w:bCs/>
        </w:rPr>
        <w:t xml:space="preserve">type </w:t>
      </w:r>
      <w:r w:rsidR="00675F8E">
        <w:rPr>
          <w:b/>
          <w:bCs/>
        </w:rPr>
        <w:t xml:space="preserve">indicated is used to determine the </w:t>
      </w:r>
      <w:r w:rsidR="004D3DEE">
        <w:rPr>
          <w:b/>
          <w:bCs/>
        </w:rPr>
        <w:t>network configuration.</w:t>
      </w:r>
    </w:p>
    <w:p w14:paraId="7F1EC048" w14:textId="1233D115" w:rsidR="00DF3E67" w:rsidRDefault="006577DF" w:rsidP="00E16757">
      <w:pPr>
        <w:pStyle w:val="Heading2"/>
      </w:pPr>
      <w:r w:rsidDel="0038404F">
        <w:t>2.</w:t>
      </w:r>
      <w:r w:rsidR="002A724F">
        <w:t>3</w:t>
      </w:r>
      <w:r w:rsidR="00BB3060">
        <w:tab/>
        <w:t>On location assistance information</w:t>
      </w:r>
    </w:p>
    <w:p w14:paraId="1424905C" w14:textId="76F803E8" w:rsidR="000E7F11" w:rsidRDefault="00E02AAD" w:rsidP="000E7F11">
      <w:r>
        <w:t>One remaining FFS is on the details of location information, e.g. serving cell SSB index, reference location, etc. Since at least the s</w:t>
      </w:r>
      <w:r w:rsidR="003A59B3">
        <w:t xml:space="preserve">erving cell SSB index </w:t>
      </w:r>
      <w:r w:rsidR="009912AD">
        <w:t xml:space="preserve">can </w:t>
      </w:r>
      <w:r w:rsidR="004B2024">
        <w:t xml:space="preserve">only be seen if the serving cell </w:t>
      </w:r>
      <w:r w:rsidR="002C1839">
        <w:t xml:space="preserve">uses multiple beams to cover the cell area. Thus using the SSB index will restrict the deployment </w:t>
      </w:r>
      <w:r w:rsidR="00B870FF">
        <w:t>and</w:t>
      </w:r>
      <w:r w:rsidR="009B3B66">
        <w:t xml:space="preserve"> we believe that the most obvious solution is to have the location defined as a center and a radius, and the reference to be the index of the SMTC configuration</w:t>
      </w:r>
      <w:r w:rsidR="003A59B3">
        <w:t>.</w:t>
      </w:r>
    </w:p>
    <w:p w14:paraId="42374B12" w14:textId="552C5856" w:rsidR="00317B23" w:rsidRDefault="00317B23" w:rsidP="000E7F11">
      <w:pPr>
        <w:rPr>
          <w:b/>
          <w:bCs/>
        </w:rPr>
      </w:pPr>
      <w:r w:rsidRPr="00272235">
        <w:rPr>
          <w:b/>
        </w:rPr>
        <w:t xml:space="preserve">Proposal </w:t>
      </w:r>
      <w:r w:rsidR="002F0DA6">
        <w:rPr>
          <w:b/>
          <w:bCs/>
        </w:rPr>
        <w:t>5</w:t>
      </w:r>
      <w:r w:rsidRPr="00272235">
        <w:rPr>
          <w:b/>
        </w:rPr>
        <w:t>: Location assistance information should consist of a center and a radius of a number of circles, each referring to one of the SMTCs in the new list.</w:t>
      </w:r>
    </w:p>
    <w:p w14:paraId="215D2A98" w14:textId="585E64BD" w:rsidR="00220A3B" w:rsidRDefault="00220A3B" w:rsidP="00272235">
      <w:pPr>
        <w:pStyle w:val="Heading2"/>
      </w:pPr>
      <w:r>
        <w:t>2.3 Number of SMTCs</w:t>
      </w:r>
    </w:p>
    <w:p w14:paraId="6625A08E" w14:textId="77777777" w:rsidR="00220A3B" w:rsidRDefault="00220A3B" w:rsidP="00220A3B">
      <w:r>
        <w:t>Another open point is whether there should be a total of 6, or another number of SMTC configurations. When the UE is in idle mode, it is already measuring the serving cell using SMTC1. Thus 6 additional SMTCs in one carrier frequency should be enough to cover worst case network configuration.</w:t>
      </w:r>
    </w:p>
    <w:p w14:paraId="7E4B7314" w14:textId="0DC9D38E" w:rsidR="00220A3B" w:rsidRPr="00272235" w:rsidRDefault="00220A3B" w:rsidP="00220A3B">
      <w:pPr>
        <w:rPr>
          <w:b/>
        </w:rPr>
      </w:pPr>
      <w:r w:rsidRPr="00FD517D">
        <w:rPr>
          <w:b/>
          <w:bCs/>
        </w:rPr>
        <w:t xml:space="preserve">Proposal </w:t>
      </w:r>
      <w:r w:rsidR="002F0DA6">
        <w:rPr>
          <w:b/>
          <w:bCs/>
        </w:rPr>
        <w:t>6</w:t>
      </w:r>
      <w:r w:rsidRPr="00FD517D">
        <w:rPr>
          <w:b/>
          <w:bCs/>
        </w:rPr>
        <w:t>: Only 6 additional SMTCs are needed.</w:t>
      </w:r>
    </w:p>
    <w:p w14:paraId="16CB5684" w14:textId="77777777" w:rsidR="008B549E" w:rsidRPr="006E13D1" w:rsidRDefault="008B549E" w:rsidP="008B549E">
      <w:pPr>
        <w:pStyle w:val="Heading1"/>
      </w:pPr>
      <w:r>
        <w:t>3</w:t>
      </w:r>
      <w:r w:rsidRPr="006E13D1">
        <w:tab/>
      </w:r>
      <w:r>
        <w:t>Conclusion</w:t>
      </w:r>
    </w:p>
    <w:p w14:paraId="3062CDE7" w14:textId="3CCF2A75" w:rsidR="008B549E" w:rsidRPr="006E13D1" w:rsidRDefault="008B549E" w:rsidP="008B549E">
      <w:r>
        <w:t>This document has made the following observations</w:t>
      </w:r>
      <w:r w:rsidR="002F0DA6">
        <w:t xml:space="preserve"> and proposals</w:t>
      </w:r>
      <w:r>
        <w:t>:</w:t>
      </w:r>
    </w:p>
    <w:p w14:paraId="1CB88E3A" w14:textId="65628CDF" w:rsidR="002F0DA6" w:rsidRDefault="002F0DA6" w:rsidP="002F0DA6">
      <w:pPr>
        <w:rPr>
          <w:b/>
          <w:bCs/>
        </w:rPr>
      </w:pPr>
      <w:r w:rsidRPr="00406A8D">
        <w:rPr>
          <w:b/>
          <w:bCs/>
        </w:rPr>
        <w:t xml:space="preserve">Observation </w:t>
      </w:r>
      <w:r>
        <w:rPr>
          <w:b/>
          <w:bCs/>
        </w:rPr>
        <w:t>1</w:t>
      </w:r>
      <w:r w:rsidRPr="00406A8D">
        <w:rPr>
          <w:b/>
          <w:bCs/>
        </w:rPr>
        <w:t xml:space="preserve">: </w:t>
      </w:r>
      <w:r>
        <w:rPr>
          <w:b/>
          <w:bCs/>
        </w:rPr>
        <w:t>RRM requirements are not applicable in case more than 2 SMTCs are configured.</w:t>
      </w:r>
    </w:p>
    <w:p w14:paraId="5ACA318A" w14:textId="6A6AC29A" w:rsidR="002F0DA6" w:rsidRPr="00FD517D" w:rsidRDefault="002F0DA6" w:rsidP="002F0DA6">
      <w:pPr>
        <w:rPr>
          <w:b/>
          <w:bCs/>
        </w:rPr>
      </w:pPr>
      <w:r w:rsidRPr="00FD517D">
        <w:rPr>
          <w:b/>
          <w:bCs/>
        </w:rPr>
        <w:t xml:space="preserve">Proposal </w:t>
      </w:r>
      <w:r>
        <w:rPr>
          <w:b/>
          <w:bCs/>
        </w:rPr>
        <w:t>1</w:t>
      </w:r>
      <w:r w:rsidRPr="00FD517D">
        <w:rPr>
          <w:b/>
          <w:bCs/>
        </w:rPr>
        <w:t>: SMTC4 is the fallback in case SMTC5 is not supported by the UE</w:t>
      </w:r>
      <w:r>
        <w:rPr>
          <w:b/>
          <w:bCs/>
        </w:rPr>
        <w:t xml:space="preserve"> similarly as SMTC1 is fallback in case the UE does not support SMTC4</w:t>
      </w:r>
      <w:r w:rsidRPr="00FD517D">
        <w:rPr>
          <w:b/>
          <w:bCs/>
        </w:rPr>
        <w:t>.</w:t>
      </w:r>
    </w:p>
    <w:p w14:paraId="2CA1EB3C" w14:textId="7580F7D1" w:rsidR="002F0DA6" w:rsidRDefault="002F0DA6" w:rsidP="002F0DA6">
      <w:pPr>
        <w:rPr>
          <w:b/>
          <w:bCs/>
        </w:rPr>
      </w:pPr>
      <w:r w:rsidRPr="00FD517D">
        <w:rPr>
          <w:b/>
          <w:bCs/>
        </w:rPr>
        <w:t xml:space="preserve">Proposal </w:t>
      </w:r>
      <w:r>
        <w:rPr>
          <w:b/>
          <w:bCs/>
        </w:rPr>
        <w:t>2</w:t>
      </w:r>
      <w:r w:rsidRPr="00FD517D">
        <w:rPr>
          <w:b/>
          <w:bCs/>
        </w:rPr>
        <w:t xml:space="preserve">: RAN2 to discuss how to </w:t>
      </w:r>
      <w:r>
        <w:rPr>
          <w:b/>
          <w:bCs/>
        </w:rPr>
        <w:t>restrics</w:t>
      </w:r>
      <w:r w:rsidRPr="00FD517D">
        <w:rPr>
          <w:b/>
          <w:bCs/>
        </w:rPr>
        <w:t xml:space="preserve"> the UE freedom when legacy SSB and SMTC is configured</w:t>
      </w:r>
      <w:r>
        <w:rPr>
          <w:b/>
          <w:bCs/>
        </w:rPr>
        <w:t xml:space="preserve"> in order to prepare for RAN4 reply that such prioritisation is needed for the solution to be acceptable</w:t>
      </w:r>
      <w:r w:rsidRPr="00FD517D">
        <w:rPr>
          <w:b/>
          <w:bCs/>
        </w:rPr>
        <w:t>.</w:t>
      </w:r>
    </w:p>
    <w:p w14:paraId="5257728B" w14:textId="2E2A6CEF" w:rsidR="002F0DA6" w:rsidRDefault="002F0DA6" w:rsidP="002F0DA6">
      <w:pPr>
        <w:rPr>
          <w:b/>
          <w:bCs/>
        </w:rPr>
      </w:pPr>
      <w:r w:rsidRPr="00274571">
        <w:rPr>
          <w:b/>
          <w:bCs/>
        </w:rPr>
        <w:t xml:space="preserve">Observation </w:t>
      </w:r>
      <w:r>
        <w:rPr>
          <w:b/>
          <w:bCs/>
        </w:rPr>
        <w:t>2</w:t>
      </w:r>
      <w:r w:rsidRPr="00274571">
        <w:rPr>
          <w:b/>
          <w:bCs/>
        </w:rPr>
        <w:t xml:space="preserve">: </w:t>
      </w:r>
      <w:r>
        <w:rPr>
          <w:b/>
          <w:bCs/>
        </w:rPr>
        <w:t xml:space="preserve">The relevant information for configuring the UE to measure neighbor cells that are active in a scattered manner in the same or different satellites are: periodicity and time offset. </w:t>
      </w:r>
    </w:p>
    <w:p w14:paraId="7FD21A5B" w14:textId="77777777" w:rsidR="002F0DA6" w:rsidRDefault="002F0DA6" w:rsidP="002F0DA6">
      <w:pPr>
        <w:rPr>
          <w:b/>
          <w:bCs/>
        </w:rPr>
      </w:pPr>
      <w:r>
        <w:rPr>
          <w:b/>
          <w:bCs/>
        </w:rPr>
        <w:t>Proposal 3: gNB may provide the neighbor cells SSB periodicities and time offsets in relation to the serving cell SSB in addition or as a replacement to the location.</w:t>
      </w:r>
    </w:p>
    <w:p w14:paraId="3F0EAC58" w14:textId="3FBD5D7E" w:rsidR="002F0DA6" w:rsidRDefault="002F0DA6" w:rsidP="008B549E">
      <w:pPr>
        <w:rPr>
          <w:b/>
          <w:bCs/>
        </w:rPr>
      </w:pPr>
      <w:r>
        <w:rPr>
          <w:b/>
          <w:bCs/>
        </w:rPr>
        <w:t>Proposal 4: In case both location based and the coordinated procedure is adopted, RAN2 to discuss whether the assistance information type indicated is used to determine the network configuration.</w:t>
      </w:r>
    </w:p>
    <w:p w14:paraId="5981D961" w14:textId="00BF1ED6" w:rsidR="008B549E" w:rsidRPr="002F0DA6" w:rsidRDefault="002F0DA6" w:rsidP="008B549E">
      <w:pPr>
        <w:rPr>
          <w:b/>
        </w:rPr>
      </w:pPr>
      <w:r w:rsidRPr="00272235">
        <w:rPr>
          <w:b/>
          <w:bCs/>
        </w:rPr>
        <w:t xml:space="preserve">Proposal </w:t>
      </w:r>
      <w:r>
        <w:rPr>
          <w:b/>
          <w:bCs/>
        </w:rPr>
        <w:t>5</w:t>
      </w:r>
      <w:r w:rsidRPr="00272235">
        <w:rPr>
          <w:b/>
          <w:bCs/>
        </w:rPr>
        <w:t>: Location assistance information should consist of a center and a radius of a number of circles, each referring to one of the SMTCs in the new list.</w:t>
      </w:r>
    </w:p>
    <w:p w14:paraId="7F95C769" w14:textId="77777777" w:rsidR="002F0DA6" w:rsidRPr="00272235" w:rsidRDefault="002F0DA6" w:rsidP="002F0DA6">
      <w:pPr>
        <w:rPr>
          <w:b/>
          <w:bCs/>
        </w:rPr>
      </w:pPr>
      <w:r w:rsidRPr="00FD517D">
        <w:rPr>
          <w:b/>
          <w:bCs/>
        </w:rPr>
        <w:t xml:space="preserve">Proposal </w:t>
      </w:r>
      <w:r>
        <w:rPr>
          <w:b/>
          <w:bCs/>
        </w:rPr>
        <w:t>6</w:t>
      </w:r>
      <w:r w:rsidRPr="00FD517D">
        <w:rPr>
          <w:b/>
          <w:bCs/>
        </w:rPr>
        <w:t>: Only 6 additional SMTCs are needed.</w:t>
      </w:r>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2E857" w14:textId="77777777" w:rsidR="00AA2E87" w:rsidRDefault="00AA2E87">
      <w:r>
        <w:separator/>
      </w:r>
    </w:p>
  </w:endnote>
  <w:endnote w:type="continuationSeparator" w:id="0">
    <w:p w14:paraId="0F4D142B" w14:textId="77777777" w:rsidR="00AA2E87" w:rsidRDefault="00AA2E87">
      <w:r>
        <w:continuationSeparator/>
      </w:r>
    </w:p>
  </w:endnote>
  <w:endnote w:type="continuationNotice" w:id="1">
    <w:p w14:paraId="22CE1319" w14:textId="77777777" w:rsidR="00AA2E87" w:rsidRDefault="00AA2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D42F2" w14:textId="77777777" w:rsidR="00AA2E87" w:rsidRDefault="00AA2E87">
      <w:r>
        <w:separator/>
      </w:r>
    </w:p>
  </w:footnote>
  <w:footnote w:type="continuationSeparator" w:id="0">
    <w:p w14:paraId="4A457F70" w14:textId="77777777" w:rsidR="00AA2E87" w:rsidRDefault="00AA2E87">
      <w:r>
        <w:continuationSeparator/>
      </w:r>
    </w:p>
  </w:footnote>
  <w:footnote w:type="continuationNotice" w:id="1">
    <w:p w14:paraId="3AE2E21D" w14:textId="77777777" w:rsidR="00AA2E87" w:rsidRDefault="00AA2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54DE0"/>
    <w:multiLevelType w:val="hybridMultilevel"/>
    <w:tmpl w:val="8FD0B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2B531F"/>
    <w:multiLevelType w:val="hybridMultilevel"/>
    <w:tmpl w:val="1784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A0478C5"/>
    <w:multiLevelType w:val="hybridMultilevel"/>
    <w:tmpl w:val="85B8538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A8807BC"/>
    <w:multiLevelType w:val="hybridMultilevel"/>
    <w:tmpl w:val="ED0E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041C54"/>
    <w:multiLevelType w:val="hybridMultilevel"/>
    <w:tmpl w:val="0D1EBCC4"/>
    <w:lvl w:ilvl="0" w:tplc="3EEC479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05804840">
    <w:abstractNumId w:val="19"/>
  </w:num>
  <w:num w:numId="19" w16cid:durableId="376199480">
    <w:abstractNumId w:val="12"/>
  </w:num>
  <w:num w:numId="20" w16cid:durableId="1991978841">
    <w:abstractNumId w:val="20"/>
  </w:num>
  <w:num w:numId="21" w16cid:durableId="81876038">
    <w:abstractNumId w:val="18"/>
  </w:num>
  <w:num w:numId="22" w16cid:durableId="11780824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4E"/>
    <w:rsid w:val="00006C10"/>
    <w:rsid w:val="000145A1"/>
    <w:rsid w:val="00016557"/>
    <w:rsid w:val="00017D68"/>
    <w:rsid w:val="00023C40"/>
    <w:rsid w:val="0002507D"/>
    <w:rsid w:val="000270A1"/>
    <w:rsid w:val="00033397"/>
    <w:rsid w:val="00040095"/>
    <w:rsid w:val="00040B2E"/>
    <w:rsid w:val="000418DD"/>
    <w:rsid w:val="00054C94"/>
    <w:rsid w:val="0006335B"/>
    <w:rsid w:val="00065268"/>
    <w:rsid w:val="00071D46"/>
    <w:rsid w:val="00072F1E"/>
    <w:rsid w:val="00073C9C"/>
    <w:rsid w:val="00076412"/>
    <w:rsid w:val="00080512"/>
    <w:rsid w:val="00090468"/>
    <w:rsid w:val="00092F1A"/>
    <w:rsid w:val="00094568"/>
    <w:rsid w:val="000A0DCF"/>
    <w:rsid w:val="000A5546"/>
    <w:rsid w:val="000B2516"/>
    <w:rsid w:val="000B7BCF"/>
    <w:rsid w:val="000C522B"/>
    <w:rsid w:val="000C52CF"/>
    <w:rsid w:val="000D01E1"/>
    <w:rsid w:val="000D0D87"/>
    <w:rsid w:val="000D3DFC"/>
    <w:rsid w:val="000D58AB"/>
    <w:rsid w:val="000E2134"/>
    <w:rsid w:val="000E7F11"/>
    <w:rsid w:val="000F0DFC"/>
    <w:rsid w:val="000F6F4F"/>
    <w:rsid w:val="0011046F"/>
    <w:rsid w:val="001113FD"/>
    <w:rsid w:val="00112F1A"/>
    <w:rsid w:val="001160D7"/>
    <w:rsid w:val="00125351"/>
    <w:rsid w:val="0012610D"/>
    <w:rsid w:val="00145075"/>
    <w:rsid w:val="001637B7"/>
    <w:rsid w:val="00163A64"/>
    <w:rsid w:val="0016781D"/>
    <w:rsid w:val="00171C20"/>
    <w:rsid w:val="001741A0"/>
    <w:rsid w:val="00175FA0"/>
    <w:rsid w:val="00180865"/>
    <w:rsid w:val="0018542A"/>
    <w:rsid w:val="00194CD0"/>
    <w:rsid w:val="001A7473"/>
    <w:rsid w:val="001B49C9"/>
    <w:rsid w:val="001C0CFF"/>
    <w:rsid w:val="001C23F4"/>
    <w:rsid w:val="001C4F79"/>
    <w:rsid w:val="001C56C8"/>
    <w:rsid w:val="001D73FF"/>
    <w:rsid w:val="001E0AE0"/>
    <w:rsid w:val="001E0FC2"/>
    <w:rsid w:val="001E582F"/>
    <w:rsid w:val="001F168B"/>
    <w:rsid w:val="001F5B9C"/>
    <w:rsid w:val="001F7831"/>
    <w:rsid w:val="00204045"/>
    <w:rsid w:val="0020712B"/>
    <w:rsid w:val="0021716B"/>
    <w:rsid w:val="00217467"/>
    <w:rsid w:val="00220A3B"/>
    <w:rsid w:val="00225D10"/>
    <w:rsid w:val="0022606D"/>
    <w:rsid w:val="00231728"/>
    <w:rsid w:val="0023660E"/>
    <w:rsid w:val="00244A05"/>
    <w:rsid w:val="002479F9"/>
    <w:rsid w:val="00250201"/>
    <w:rsid w:val="00250404"/>
    <w:rsid w:val="002525C9"/>
    <w:rsid w:val="00256B74"/>
    <w:rsid w:val="00260587"/>
    <w:rsid w:val="002610D8"/>
    <w:rsid w:val="00272235"/>
    <w:rsid w:val="002747EC"/>
    <w:rsid w:val="0027550C"/>
    <w:rsid w:val="002803A8"/>
    <w:rsid w:val="002855BF"/>
    <w:rsid w:val="00290A7C"/>
    <w:rsid w:val="00292C77"/>
    <w:rsid w:val="002A2B37"/>
    <w:rsid w:val="002A5097"/>
    <w:rsid w:val="002A724F"/>
    <w:rsid w:val="002A7CA7"/>
    <w:rsid w:val="002B0588"/>
    <w:rsid w:val="002B2988"/>
    <w:rsid w:val="002B5106"/>
    <w:rsid w:val="002B6B05"/>
    <w:rsid w:val="002C1839"/>
    <w:rsid w:val="002C428F"/>
    <w:rsid w:val="002C54DC"/>
    <w:rsid w:val="002C7116"/>
    <w:rsid w:val="002D1824"/>
    <w:rsid w:val="002D2660"/>
    <w:rsid w:val="002E446E"/>
    <w:rsid w:val="002E5122"/>
    <w:rsid w:val="002F0D22"/>
    <w:rsid w:val="002F0DA6"/>
    <w:rsid w:val="00311B17"/>
    <w:rsid w:val="00315FA8"/>
    <w:rsid w:val="003172DC"/>
    <w:rsid w:val="00317B23"/>
    <w:rsid w:val="00324DA0"/>
    <w:rsid w:val="00325AE3"/>
    <w:rsid w:val="00326069"/>
    <w:rsid w:val="00345795"/>
    <w:rsid w:val="0035462D"/>
    <w:rsid w:val="0036459E"/>
    <w:rsid w:val="00364B41"/>
    <w:rsid w:val="00383096"/>
    <w:rsid w:val="0038404F"/>
    <w:rsid w:val="003852AF"/>
    <w:rsid w:val="0039346C"/>
    <w:rsid w:val="003A41EF"/>
    <w:rsid w:val="003A4ED8"/>
    <w:rsid w:val="003A59B3"/>
    <w:rsid w:val="003B3BBE"/>
    <w:rsid w:val="003B40AD"/>
    <w:rsid w:val="003B69AC"/>
    <w:rsid w:val="003C3D6F"/>
    <w:rsid w:val="003C4E37"/>
    <w:rsid w:val="003D04FB"/>
    <w:rsid w:val="003D0CC3"/>
    <w:rsid w:val="003D0FD0"/>
    <w:rsid w:val="003D6B42"/>
    <w:rsid w:val="003D7AAB"/>
    <w:rsid w:val="003E16BE"/>
    <w:rsid w:val="003E1B5B"/>
    <w:rsid w:val="003E7207"/>
    <w:rsid w:val="003F1125"/>
    <w:rsid w:val="003F4E28"/>
    <w:rsid w:val="003F76B6"/>
    <w:rsid w:val="004006E8"/>
    <w:rsid w:val="00401855"/>
    <w:rsid w:val="00410EFA"/>
    <w:rsid w:val="00411B49"/>
    <w:rsid w:val="00422CD7"/>
    <w:rsid w:val="004450FC"/>
    <w:rsid w:val="00446C3A"/>
    <w:rsid w:val="0045305D"/>
    <w:rsid w:val="00457837"/>
    <w:rsid w:val="004619B3"/>
    <w:rsid w:val="00465587"/>
    <w:rsid w:val="00466A78"/>
    <w:rsid w:val="00477455"/>
    <w:rsid w:val="00483950"/>
    <w:rsid w:val="00485540"/>
    <w:rsid w:val="00490144"/>
    <w:rsid w:val="004A1F7B"/>
    <w:rsid w:val="004A3A34"/>
    <w:rsid w:val="004B2024"/>
    <w:rsid w:val="004C44D2"/>
    <w:rsid w:val="004D3578"/>
    <w:rsid w:val="004D380D"/>
    <w:rsid w:val="004D3DEE"/>
    <w:rsid w:val="004D4A17"/>
    <w:rsid w:val="004D5143"/>
    <w:rsid w:val="004E213A"/>
    <w:rsid w:val="004E7553"/>
    <w:rsid w:val="004F2C39"/>
    <w:rsid w:val="004F4540"/>
    <w:rsid w:val="004F73A7"/>
    <w:rsid w:val="00503171"/>
    <w:rsid w:val="00506C28"/>
    <w:rsid w:val="005072CC"/>
    <w:rsid w:val="0051579A"/>
    <w:rsid w:val="00524C32"/>
    <w:rsid w:val="00526456"/>
    <w:rsid w:val="00527973"/>
    <w:rsid w:val="00534DA0"/>
    <w:rsid w:val="00537809"/>
    <w:rsid w:val="00541A65"/>
    <w:rsid w:val="005432D9"/>
    <w:rsid w:val="00543E6C"/>
    <w:rsid w:val="005455EE"/>
    <w:rsid w:val="00554324"/>
    <w:rsid w:val="00563364"/>
    <w:rsid w:val="00565087"/>
    <w:rsid w:val="0056573F"/>
    <w:rsid w:val="00571279"/>
    <w:rsid w:val="0057145E"/>
    <w:rsid w:val="00573250"/>
    <w:rsid w:val="00575FC5"/>
    <w:rsid w:val="00581A45"/>
    <w:rsid w:val="00586075"/>
    <w:rsid w:val="005862D6"/>
    <w:rsid w:val="005952D4"/>
    <w:rsid w:val="005A13AB"/>
    <w:rsid w:val="005A33CC"/>
    <w:rsid w:val="005A49C6"/>
    <w:rsid w:val="005A5862"/>
    <w:rsid w:val="005C0E92"/>
    <w:rsid w:val="005C4B14"/>
    <w:rsid w:val="005C5B9B"/>
    <w:rsid w:val="005C766E"/>
    <w:rsid w:val="005C7CD5"/>
    <w:rsid w:val="005C7E72"/>
    <w:rsid w:val="005D2DEC"/>
    <w:rsid w:val="005E4AEC"/>
    <w:rsid w:val="005E6C44"/>
    <w:rsid w:val="005F2A0F"/>
    <w:rsid w:val="005F4C6A"/>
    <w:rsid w:val="00604FD1"/>
    <w:rsid w:val="00605560"/>
    <w:rsid w:val="00611566"/>
    <w:rsid w:val="00631D51"/>
    <w:rsid w:val="0064505F"/>
    <w:rsid w:val="00646D99"/>
    <w:rsid w:val="00656910"/>
    <w:rsid w:val="0065694F"/>
    <w:rsid w:val="006574C0"/>
    <w:rsid w:val="006576A5"/>
    <w:rsid w:val="006577DF"/>
    <w:rsid w:val="00664B67"/>
    <w:rsid w:val="00670B9D"/>
    <w:rsid w:val="00675F8E"/>
    <w:rsid w:val="006838BB"/>
    <w:rsid w:val="00696821"/>
    <w:rsid w:val="006A0DA3"/>
    <w:rsid w:val="006A1C32"/>
    <w:rsid w:val="006B0FE2"/>
    <w:rsid w:val="006B29AD"/>
    <w:rsid w:val="006B509B"/>
    <w:rsid w:val="006B64E3"/>
    <w:rsid w:val="006C6450"/>
    <w:rsid w:val="006C66D8"/>
    <w:rsid w:val="006C67DF"/>
    <w:rsid w:val="006C6D49"/>
    <w:rsid w:val="006D1E24"/>
    <w:rsid w:val="006D35DE"/>
    <w:rsid w:val="006D5C5E"/>
    <w:rsid w:val="006E0FFA"/>
    <w:rsid w:val="006E1057"/>
    <w:rsid w:val="006E1417"/>
    <w:rsid w:val="006E3174"/>
    <w:rsid w:val="006E6FFC"/>
    <w:rsid w:val="006F1CA2"/>
    <w:rsid w:val="006F596D"/>
    <w:rsid w:val="006F6A2C"/>
    <w:rsid w:val="006F7073"/>
    <w:rsid w:val="007069DC"/>
    <w:rsid w:val="00706AAE"/>
    <w:rsid w:val="00710201"/>
    <w:rsid w:val="00710672"/>
    <w:rsid w:val="00711E5E"/>
    <w:rsid w:val="0071409B"/>
    <w:rsid w:val="0072073A"/>
    <w:rsid w:val="00723B23"/>
    <w:rsid w:val="00731D9F"/>
    <w:rsid w:val="007342B5"/>
    <w:rsid w:val="00734A5B"/>
    <w:rsid w:val="00744E76"/>
    <w:rsid w:val="00747AEF"/>
    <w:rsid w:val="00757D40"/>
    <w:rsid w:val="007611ED"/>
    <w:rsid w:val="00764BEA"/>
    <w:rsid w:val="007662B5"/>
    <w:rsid w:val="00772C32"/>
    <w:rsid w:val="00780958"/>
    <w:rsid w:val="00781F0F"/>
    <w:rsid w:val="0078727C"/>
    <w:rsid w:val="0079049D"/>
    <w:rsid w:val="00793DC5"/>
    <w:rsid w:val="00796823"/>
    <w:rsid w:val="007A2E55"/>
    <w:rsid w:val="007B18D8"/>
    <w:rsid w:val="007B6D8B"/>
    <w:rsid w:val="007C095F"/>
    <w:rsid w:val="007C2321"/>
    <w:rsid w:val="007C2DD0"/>
    <w:rsid w:val="007F2E08"/>
    <w:rsid w:val="007F65CD"/>
    <w:rsid w:val="008024FA"/>
    <w:rsid w:val="008028A4"/>
    <w:rsid w:val="00805EA4"/>
    <w:rsid w:val="008104FB"/>
    <w:rsid w:val="00813245"/>
    <w:rsid w:val="00813DA2"/>
    <w:rsid w:val="0082418F"/>
    <w:rsid w:val="008343C3"/>
    <w:rsid w:val="00834E1C"/>
    <w:rsid w:val="00840DE0"/>
    <w:rsid w:val="00847CD0"/>
    <w:rsid w:val="00851915"/>
    <w:rsid w:val="00852B6F"/>
    <w:rsid w:val="0085740D"/>
    <w:rsid w:val="00857BF2"/>
    <w:rsid w:val="008607A8"/>
    <w:rsid w:val="0086253D"/>
    <w:rsid w:val="0086354A"/>
    <w:rsid w:val="008644E4"/>
    <w:rsid w:val="00867DA4"/>
    <w:rsid w:val="00870F74"/>
    <w:rsid w:val="00871D2C"/>
    <w:rsid w:val="008765A2"/>
    <w:rsid w:val="008768CA"/>
    <w:rsid w:val="00877B9D"/>
    <w:rsid w:val="00877EF9"/>
    <w:rsid w:val="00880559"/>
    <w:rsid w:val="00884653"/>
    <w:rsid w:val="008921FB"/>
    <w:rsid w:val="008945BC"/>
    <w:rsid w:val="0089695B"/>
    <w:rsid w:val="00897788"/>
    <w:rsid w:val="008A0C62"/>
    <w:rsid w:val="008A21BF"/>
    <w:rsid w:val="008B42E5"/>
    <w:rsid w:val="008B4E09"/>
    <w:rsid w:val="008B5306"/>
    <w:rsid w:val="008B543D"/>
    <w:rsid w:val="008B549E"/>
    <w:rsid w:val="008B54E8"/>
    <w:rsid w:val="008C2E2A"/>
    <w:rsid w:val="008C3057"/>
    <w:rsid w:val="008C3D33"/>
    <w:rsid w:val="008C443D"/>
    <w:rsid w:val="008D0C8C"/>
    <w:rsid w:val="008D2E4D"/>
    <w:rsid w:val="008D37D2"/>
    <w:rsid w:val="008F396F"/>
    <w:rsid w:val="008F3DCD"/>
    <w:rsid w:val="0090271F"/>
    <w:rsid w:val="00902DB9"/>
    <w:rsid w:val="0090466A"/>
    <w:rsid w:val="00905E5A"/>
    <w:rsid w:val="00906F3E"/>
    <w:rsid w:val="009076D6"/>
    <w:rsid w:val="00911F55"/>
    <w:rsid w:val="00916DCB"/>
    <w:rsid w:val="00923655"/>
    <w:rsid w:val="009248C6"/>
    <w:rsid w:val="009339CB"/>
    <w:rsid w:val="00935D31"/>
    <w:rsid w:val="00936071"/>
    <w:rsid w:val="009376CD"/>
    <w:rsid w:val="00940212"/>
    <w:rsid w:val="00942EC2"/>
    <w:rsid w:val="00943066"/>
    <w:rsid w:val="00961B32"/>
    <w:rsid w:val="00962509"/>
    <w:rsid w:val="00970DB3"/>
    <w:rsid w:val="00974BB0"/>
    <w:rsid w:val="00974FA3"/>
    <w:rsid w:val="00975BCD"/>
    <w:rsid w:val="00977220"/>
    <w:rsid w:val="00980893"/>
    <w:rsid w:val="00981644"/>
    <w:rsid w:val="009818A2"/>
    <w:rsid w:val="009861A5"/>
    <w:rsid w:val="009912AD"/>
    <w:rsid w:val="009928A9"/>
    <w:rsid w:val="00996DF3"/>
    <w:rsid w:val="00997702"/>
    <w:rsid w:val="009A0AF3"/>
    <w:rsid w:val="009A5C4E"/>
    <w:rsid w:val="009A77A9"/>
    <w:rsid w:val="009B07CD"/>
    <w:rsid w:val="009B1E18"/>
    <w:rsid w:val="009B3B66"/>
    <w:rsid w:val="009C19E9"/>
    <w:rsid w:val="009C3954"/>
    <w:rsid w:val="009D0BF1"/>
    <w:rsid w:val="009D116D"/>
    <w:rsid w:val="009D4729"/>
    <w:rsid w:val="009D554C"/>
    <w:rsid w:val="009D74A6"/>
    <w:rsid w:val="009E0E87"/>
    <w:rsid w:val="009E6EA5"/>
    <w:rsid w:val="009E74AA"/>
    <w:rsid w:val="009F1460"/>
    <w:rsid w:val="009F17D6"/>
    <w:rsid w:val="009F1ED1"/>
    <w:rsid w:val="00A006D6"/>
    <w:rsid w:val="00A06109"/>
    <w:rsid w:val="00A10F02"/>
    <w:rsid w:val="00A17176"/>
    <w:rsid w:val="00A174F4"/>
    <w:rsid w:val="00A204CA"/>
    <w:rsid w:val="00A209D6"/>
    <w:rsid w:val="00A22738"/>
    <w:rsid w:val="00A320DA"/>
    <w:rsid w:val="00A36F5F"/>
    <w:rsid w:val="00A430EC"/>
    <w:rsid w:val="00A43E9A"/>
    <w:rsid w:val="00A53724"/>
    <w:rsid w:val="00A54B2B"/>
    <w:rsid w:val="00A60C24"/>
    <w:rsid w:val="00A63FEF"/>
    <w:rsid w:val="00A65160"/>
    <w:rsid w:val="00A703B6"/>
    <w:rsid w:val="00A82346"/>
    <w:rsid w:val="00A849C1"/>
    <w:rsid w:val="00A938D4"/>
    <w:rsid w:val="00A9671C"/>
    <w:rsid w:val="00AA1553"/>
    <w:rsid w:val="00AA2E87"/>
    <w:rsid w:val="00AC215D"/>
    <w:rsid w:val="00AD46F7"/>
    <w:rsid w:val="00AD7E7C"/>
    <w:rsid w:val="00AE4EEF"/>
    <w:rsid w:val="00AE60F3"/>
    <w:rsid w:val="00AE618E"/>
    <w:rsid w:val="00B04548"/>
    <w:rsid w:val="00B05380"/>
    <w:rsid w:val="00B05962"/>
    <w:rsid w:val="00B15449"/>
    <w:rsid w:val="00B16C2F"/>
    <w:rsid w:val="00B1717A"/>
    <w:rsid w:val="00B208F6"/>
    <w:rsid w:val="00B26401"/>
    <w:rsid w:val="00B27303"/>
    <w:rsid w:val="00B47FD1"/>
    <w:rsid w:val="00B516BB"/>
    <w:rsid w:val="00B56BA5"/>
    <w:rsid w:val="00B5751D"/>
    <w:rsid w:val="00B669E9"/>
    <w:rsid w:val="00B70236"/>
    <w:rsid w:val="00B7496D"/>
    <w:rsid w:val="00B75342"/>
    <w:rsid w:val="00B7538C"/>
    <w:rsid w:val="00B84DB2"/>
    <w:rsid w:val="00B870FF"/>
    <w:rsid w:val="00B92C4A"/>
    <w:rsid w:val="00BA2F71"/>
    <w:rsid w:val="00BB3060"/>
    <w:rsid w:val="00BB5B47"/>
    <w:rsid w:val="00BC0FBA"/>
    <w:rsid w:val="00BC3555"/>
    <w:rsid w:val="00BC481B"/>
    <w:rsid w:val="00BD074E"/>
    <w:rsid w:val="00BD3868"/>
    <w:rsid w:val="00BF6C43"/>
    <w:rsid w:val="00BF6D3A"/>
    <w:rsid w:val="00C03C5B"/>
    <w:rsid w:val="00C045FD"/>
    <w:rsid w:val="00C07241"/>
    <w:rsid w:val="00C11DA1"/>
    <w:rsid w:val="00C12B51"/>
    <w:rsid w:val="00C178BF"/>
    <w:rsid w:val="00C216A4"/>
    <w:rsid w:val="00C24650"/>
    <w:rsid w:val="00C25465"/>
    <w:rsid w:val="00C31806"/>
    <w:rsid w:val="00C33079"/>
    <w:rsid w:val="00C55A12"/>
    <w:rsid w:val="00C6553E"/>
    <w:rsid w:val="00C77423"/>
    <w:rsid w:val="00C83A13"/>
    <w:rsid w:val="00C86F10"/>
    <w:rsid w:val="00C9068C"/>
    <w:rsid w:val="00C92967"/>
    <w:rsid w:val="00CA0CCF"/>
    <w:rsid w:val="00CA3D0C"/>
    <w:rsid w:val="00CA654B"/>
    <w:rsid w:val="00CB183F"/>
    <w:rsid w:val="00CB636C"/>
    <w:rsid w:val="00CB72B8"/>
    <w:rsid w:val="00CD0BA8"/>
    <w:rsid w:val="00CD1B0C"/>
    <w:rsid w:val="00CD4C7B"/>
    <w:rsid w:val="00CD58FE"/>
    <w:rsid w:val="00CE0524"/>
    <w:rsid w:val="00CE197C"/>
    <w:rsid w:val="00CE37CB"/>
    <w:rsid w:val="00D33BE3"/>
    <w:rsid w:val="00D34EF6"/>
    <w:rsid w:val="00D3792D"/>
    <w:rsid w:val="00D41A45"/>
    <w:rsid w:val="00D4577A"/>
    <w:rsid w:val="00D54820"/>
    <w:rsid w:val="00D55E47"/>
    <w:rsid w:val="00D5737C"/>
    <w:rsid w:val="00D62E19"/>
    <w:rsid w:val="00D6524B"/>
    <w:rsid w:val="00D67CD1"/>
    <w:rsid w:val="00D738D6"/>
    <w:rsid w:val="00D76535"/>
    <w:rsid w:val="00D80795"/>
    <w:rsid w:val="00D854BE"/>
    <w:rsid w:val="00D86174"/>
    <w:rsid w:val="00D87CF0"/>
    <w:rsid w:val="00D87E00"/>
    <w:rsid w:val="00D9134D"/>
    <w:rsid w:val="00D9254B"/>
    <w:rsid w:val="00D94E33"/>
    <w:rsid w:val="00D96D11"/>
    <w:rsid w:val="00DA1415"/>
    <w:rsid w:val="00DA4894"/>
    <w:rsid w:val="00DA5366"/>
    <w:rsid w:val="00DA5C40"/>
    <w:rsid w:val="00DA7A03"/>
    <w:rsid w:val="00DB0DB8"/>
    <w:rsid w:val="00DB1818"/>
    <w:rsid w:val="00DB1B68"/>
    <w:rsid w:val="00DC1183"/>
    <w:rsid w:val="00DC309B"/>
    <w:rsid w:val="00DC4DA2"/>
    <w:rsid w:val="00DC5261"/>
    <w:rsid w:val="00DD700E"/>
    <w:rsid w:val="00DE2266"/>
    <w:rsid w:val="00DE25D2"/>
    <w:rsid w:val="00DE454F"/>
    <w:rsid w:val="00DE75B5"/>
    <w:rsid w:val="00DF3C8A"/>
    <w:rsid w:val="00DF3E67"/>
    <w:rsid w:val="00DF7C20"/>
    <w:rsid w:val="00E00FF5"/>
    <w:rsid w:val="00E02AAD"/>
    <w:rsid w:val="00E038FB"/>
    <w:rsid w:val="00E14970"/>
    <w:rsid w:val="00E16757"/>
    <w:rsid w:val="00E23944"/>
    <w:rsid w:val="00E275B4"/>
    <w:rsid w:val="00E309BC"/>
    <w:rsid w:val="00E42A2B"/>
    <w:rsid w:val="00E46C08"/>
    <w:rsid w:val="00E471CF"/>
    <w:rsid w:val="00E5782D"/>
    <w:rsid w:val="00E62835"/>
    <w:rsid w:val="00E6480E"/>
    <w:rsid w:val="00E7219C"/>
    <w:rsid w:val="00E73E57"/>
    <w:rsid w:val="00E77645"/>
    <w:rsid w:val="00E83697"/>
    <w:rsid w:val="00E859B6"/>
    <w:rsid w:val="00E862B3"/>
    <w:rsid w:val="00EA66C9"/>
    <w:rsid w:val="00EB3129"/>
    <w:rsid w:val="00EB5D32"/>
    <w:rsid w:val="00EC4A25"/>
    <w:rsid w:val="00ED1C74"/>
    <w:rsid w:val="00ED4699"/>
    <w:rsid w:val="00EE1DB8"/>
    <w:rsid w:val="00EE50FB"/>
    <w:rsid w:val="00EE5D4A"/>
    <w:rsid w:val="00EF612C"/>
    <w:rsid w:val="00EF6D9B"/>
    <w:rsid w:val="00F025A2"/>
    <w:rsid w:val="00F036E9"/>
    <w:rsid w:val="00F06E61"/>
    <w:rsid w:val="00F07388"/>
    <w:rsid w:val="00F2026E"/>
    <w:rsid w:val="00F20D72"/>
    <w:rsid w:val="00F2210A"/>
    <w:rsid w:val="00F27401"/>
    <w:rsid w:val="00F31372"/>
    <w:rsid w:val="00F37743"/>
    <w:rsid w:val="00F40C2F"/>
    <w:rsid w:val="00F42493"/>
    <w:rsid w:val="00F54A3D"/>
    <w:rsid w:val="00F54CB0"/>
    <w:rsid w:val="00F579CD"/>
    <w:rsid w:val="00F628D9"/>
    <w:rsid w:val="00F653B8"/>
    <w:rsid w:val="00F66E35"/>
    <w:rsid w:val="00F71B89"/>
    <w:rsid w:val="00F7353C"/>
    <w:rsid w:val="00F73F2B"/>
    <w:rsid w:val="00F76AB9"/>
    <w:rsid w:val="00F76F8F"/>
    <w:rsid w:val="00F87048"/>
    <w:rsid w:val="00F87257"/>
    <w:rsid w:val="00F941DF"/>
    <w:rsid w:val="00FA1266"/>
    <w:rsid w:val="00FA4443"/>
    <w:rsid w:val="00FA7975"/>
    <w:rsid w:val="00FB36FA"/>
    <w:rsid w:val="00FB4C33"/>
    <w:rsid w:val="00FC1192"/>
    <w:rsid w:val="00FC3DF5"/>
    <w:rsid w:val="00FE106D"/>
    <w:rsid w:val="00FE251B"/>
    <w:rsid w:val="00FF4F21"/>
    <w:rsid w:val="0C71F0EE"/>
    <w:rsid w:val="0ECB4D2F"/>
    <w:rsid w:val="2DB5EA3E"/>
    <w:rsid w:val="308182C4"/>
    <w:rsid w:val="30E9418E"/>
    <w:rsid w:val="453E6D2C"/>
    <w:rsid w:val="46FA6E65"/>
    <w:rsid w:val="748678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50AEE98-8E34-4D04-92A6-6C94D88C4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8945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737C"/>
    <w:rPr>
      <w:lang w:eastAsia="en-US"/>
    </w:rPr>
  </w:style>
  <w:style w:type="character" w:styleId="Mention">
    <w:name w:val="Mention"/>
    <w:basedOn w:val="DefaultParagraphFont"/>
    <w:uiPriority w:val="99"/>
    <w:unhideWhenUsed/>
    <w:rsid w:val="00977220"/>
    <w:rPr>
      <w:color w:val="2B579A"/>
      <w:shd w:val="clear" w:color="auto" w:fill="E1DFDD"/>
    </w:rPr>
  </w:style>
  <w:style w:type="character" w:customStyle="1" w:styleId="TALCar">
    <w:name w:val="TAL Car"/>
    <w:link w:val="TAL"/>
    <w:qFormat/>
    <w:rsid w:val="00C03C5B"/>
    <w:rPr>
      <w:rFonts w:ascii="Arial" w:hAnsi="Arial"/>
      <w:sz w:val="18"/>
      <w:lang w:eastAsia="en-US"/>
    </w:rPr>
  </w:style>
  <w:style w:type="character" w:customStyle="1" w:styleId="B1Char">
    <w:name w:val="B1 Char"/>
    <w:link w:val="B1"/>
    <w:qFormat/>
    <w:rsid w:val="00FB4C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RBI5PAMIO524-1616901215-46789</_dlc_DocId>
    <_dlc_DocIdUrl xmlns="71c5aaf6-e6ce-465b-b873-5148d2a4c105">
      <Url>https://nokia.sharepoint.com/sites/gxp/_layouts/15/DocIdRedir.aspx?ID=RBI5PAMIO524-1616901215-46789</Url>
      <Description>RBI5PAMIO524-1616901215-46789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C1FAA96-E593-4695-B191-C28E8FFC2411}">
  <ds:schemaRefs>
    <ds:schemaRef ds:uri="http://schemas.openxmlformats.org/officeDocument/2006/bibliography"/>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1c5aaf6-e6ce-465b-b873-5148d2a4c105"/>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234</TotalTime>
  <Pages>5</Pages>
  <Words>1964</Words>
  <Characters>11198</Characters>
  <Application>Microsoft Office Word</Application>
  <DocSecurity>0</DocSecurity>
  <Lines>93</Lines>
  <Paragraphs>26</Paragraphs>
  <ScaleCrop>false</ScaleCrop>
  <Manager/>
  <Company>Nokia</Company>
  <LinksUpToDate>false</LinksUpToDate>
  <CharactersWithSpaces>13136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301</cp:revision>
  <dcterms:created xsi:type="dcterms:W3CDTF">2016-08-12T22:53:00Z</dcterms:created>
  <dcterms:modified xsi:type="dcterms:W3CDTF">2025-05-08T09:45:00Z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936cfaee-421a-4a5b-af18-f53f309b6637</vt:lpwstr>
  </property>
</Properties>
</file>